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lang w:val="pt-BR"/>
        </w:rPr>
        <w:t xml:space="preserve">Seminário 8 — versão para leitura e impressão</w:t>
      </w:r>
    </w:p>
    <w:bookmarkStart w:id="97" w:name="do-poder-dever-ao-dever-poder"/>
    <w:p>
      <w:pPr>
        <w:pStyle w:val="Heading1"/>
      </w:pPr>
      <w:r>
        <w:rPr>
          <w:lang w:val="pt-BR"/>
        </w:rPr>
        <w:t xml:space="preserve">Do Poder-Dever ao Dever-Poder</w:t>
      </w:r>
    </w:p>
    <w:p>
      <w:pPr>
        <w:pStyle w:val="FirstParagraph"/>
      </w:pPr>
      <w:r>
        <w:rPr>
          <w:lang w:val="pt-BR"/>
        </w:rPr>
        <w:t xml:space="preserve">Ana Vitória Vanzin &amp; Vinícius Oliveira · PPGD/UFSC · 2026</w:t>
      </w:r>
    </w:p>
    <w:p>
      <w:pPr>
        <w:pStyle w:val="BodyText"/>
      </w:pPr>
      <w:r>
        <w:rPr>
          <w:lang w:val="pt-BR"/>
        </w:rPr>
        <w:t xml:space="preserve">Companion de leitura gerado a partir do deck revisado. Os cenários e pareceres do Conselho são didáticos, as personas são fictícias e a supervisão humana prévia é uma proposta do seminário. O texto vigente da LGPD garante pedido de revisão sem exigir expressamente pessoa natural.</w:t>
      </w:r>
    </w:p>
    <w:p>
      <w:pPr>
        <w:pStyle w:val="BodyText"/>
      </w:pPr>
      <w:r>
        <w:rPr>
          <w:lang w:val="pt-BR"/>
        </w:rPr>
        <w:t xml:space="preserve">Imprimir / salvar PDF ·</w:t>
      </w:r>
      <w:r>
        <w:rPr>
          <w:lang w:val="pt-BR"/>
        </w:rPr>
        <w:t xml:space="preserve"> </w:t>
      </w:r>
      <w:hyperlink r:id="rId9">
        <w:r>
          <w:rPr>
            <w:rStyle w:val="Hyperlink"/>
            <w:lang w:val="pt-BR"/>
          </w:rPr>
          <w:t xml:space="preserve">PDF de leitura</w:t>
        </w:r>
      </w:hyperlink>
      <w:r>
        <w:rPr>
          <w:lang w:val="pt-BR"/>
        </w:rPr>
        <w:t xml:space="preserve"> </w:t>
      </w:r>
      <w:r>
        <w:rPr>
          <w:lang w:val="pt-BR"/>
        </w:rPr>
        <w:t xml:space="preserve">·</w:t>
      </w:r>
      <w:r>
        <w:rPr>
          <w:lang w:val="pt-BR"/>
        </w:rPr>
        <w:t xml:space="preserve"> </w:t>
      </w:r>
      <w:hyperlink r:id="rId10">
        <w:r>
          <w:rPr>
            <w:rStyle w:val="Hyperlink"/>
            <w:lang w:val="pt-BR"/>
          </w:rPr>
          <w:t xml:space="preserve">DOCX de leitura</w:t>
        </w:r>
      </w:hyperlink>
    </w:p>
    <w:bookmarkStart w:id="11" w:name="abertura"/>
    <w:p>
      <w:pPr>
        <w:pStyle w:val="Heading2"/>
      </w:pPr>
      <w:r>
        <w:rPr>
          <w:lang w:val="pt-BR"/>
        </w:rPr>
        <w:t xml:space="preserve">00 Abertura</w:t>
      </w:r>
    </w:p>
    <w:bookmarkEnd w:id="11"/>
    <w:bookmarkStart w:id="13" w:name="capa"/>
    <w:p>
      <w:pPr>
        <w:pStyle w:val="Heading2"/>
      </w:pPr>
      <w:r>
        <w:rPr>
          <w:lang w:val="pt-BR"/>
        </w:rPr>
        <w:t xml:space="preserve">01 Capa</w:t>
      </w:r>
    </w:p>
    <w:bookmarkStart w:id="12" w:name="administraçãopública-orientadapor-dados."/>
    <w:p>
      <w:pPr>
        <w:pStyle w:val="Heading3"/>
      </w:pPr>
      <w:r>
        <w:rPr>
          <w:lang w:val="pt-BR"/>
        </w:rPr>
        <w:t xml:space="preserve">AdministraçãoPública orientadapor dados.</w:t>
      </w:r>
    </w:p>
    <w:p>
      <w:pPr>
        <w:pStyle w:val="FirstParagraph"/>
      </w:pPr>
      <w:r>
        <w:rPr>
          <w:lang w:val="pt-BR"/>
        </w:rPr>
        <w:t xml:space="preserve">Governo aberto · LGPD · processo administrativo digital · decisão algorítmica.</w:t>
      </w:r>
    </w:p>
    <w:p>
      <w:pPr>
        <w:pStyle w:val="BodyText"/>
      </w:pPr>
      <w:r>
        <w:rPr>
          <w:lang w:val="pt-BR"/>
        </w:rPr>
        <w:t xml:space="preserve">Quatro artigos — uma releitura crítica: o Estado que edita a regra é o que mais a descumpre contra o cidadão.</w:t>
      </w:r>
    </w:p>
    <w:bookmarkEnd w:id="12"/>
    <w:bookmarkEnd w:id="13"/>
    <w:bookmarkStart w:id="14" w:name="pergunta"/>
    <w:p>
      <w:pPr>
        <w:pStyle w:val="Heading2"/>
      </w:pPr>
      <w:r>
        <w:rPr>
          <w:lang w:val="pt-BR"/>
        </w:rPr>
        <w:t xml:space="preserve">02 Pergunta</w:t>
      </w:r>
    </w:p>
    <w:bookmarkEnd w:id="14"/>
    <w:bookmarkStart w:id="18" w:name="chave-de-leitura"/>
    <w:p>
      <w:pPr>
        <w:pStyle w:val="Heading2"/>
      </w:pPr>
      <w:r>
        <w:rPr>
          <w:lang w:val="pt-BR"/>
        </w:rPr>
        <w:t xml:space="preserve">03 Chave de leitura</w:t>
      </w:r>
    </w:p>
    <w:bookmarkStart w:id="15" w:name="X51fc4e5c19ef3176d96c06df363192e24fbad4f"/>
    <w:p>
      <w:pPr>
        <w:pStyle w:val="Heading3"/>
      </w:pPr>
      <w:r>
        <w:rPr>
          <w:lang w:val="pt-BR"/>
        </w:rPr>
        <w:t xml:space="preserve">O Poder Público aparece, no mesmo gesto, em duas posições simultâneas.</w:t>
      </w:r>
    </w:p>
    <w:bookmarkEnd w:id="15"/>
    <w:bookmarkStart w:id="16" w:name="edita-a-regra."/>
    <w:p>
      <w:pPr>
        <w:pStyle w:val="Heading3"/>
      </w:pPr>
      <w:r>
        <w:rPr>
          <w:lang w:val="pt-BR"/>
        </w:rPr>
        <w:t xml:space="preserve">Edita a regra.</w:t>
      </w:r>
    </w:p>
    <w:p>
      <w:pPr>
        <w:pStyle w:val="FirstParagraph"/>
      </w:pPr>
      <w:r>
        <w:rPr>
          <w:lang w:val="pt-BR"/>
        </w:rPr>
        <w:t xml:space="preserve">LAI · Lei 12.527 / 2011</w:t>
      </w:r>
    </w:p>
    <w:p>
      <w:pPr>
        <w:pStyle w:val="BodyText"/>
      </w:pPr>
      <w:r>
        <w:rPr>
          <w:lang w:val="pt-BR"/>
        </w:rPr>
        <w:t xml:space="preserve">LGPD · Lei 13.709 / 2018</w:t>
      </w:r>
    </w:p>
    <w:p>
      <w:pPr>
        <w:pStyle w:val="BodyText"/>
      </w:pPr>
      <w:r>
        <w:rPr>
          <w:lang w:val="pt-BR"/>
        </w:rPr>
        <w:t xml:space="preserve">L. 14.129/21 · gov. digital</w:t>
      </w:r>
    </w:p>
    <w:p>
      <w:pPr>
        <w:pStyle w:val="BodyText"/>
      </w:pPr>
      <w:r>
        <w:rPr>
          <w:lang w:val="pt-BR"/>
        </w:rPr>
        <w:t xml:space="preserve">IN INSS 128 / 2022</w:t>
      </w:r>
    </w:p>
    <w:p>
      <w:pPr>
        <w:pStyle w:val="BodyText"/>
      </w:pPr>
      <w:r>
        <w:rPr>
          <w:lang w:val="pt-BR"/>
        </w:rPr>
        <w:t xml:space="preserve">CNJ · Res. 615 / 2025</w:t>
      </w:r>
    </w:p>
    <w:p>
      <w:pPr>
        <w:pStyle w:val="BodyText"/>
      </w:pPr>
      <w:r>
        <w:rPr>
          <w:lang w:val="pt-BR"/>
        </w:rPr>
        <w:t xml:space="preserve">Janus bifrons —a mesma pessoa jurídica,a olhar simultaneamente para dentro e para fora.</w:t>
      </w:r>
    </w:p>
    <w:bookmarkEnd w:id="16"/>
    <w:bookmarkStart w:id="17" w:name="descumpre-a-regra."/>
    <w:p>
      <w:pPr>
        <w:pStyle w:val="Heading3"/>
      </w:pPr>
      <w:r>
        <w:rPr>
          <w:lang w:val="pt-BR"/>
        </w:rPr>
        <w:t xml:space="preserve">Descumpre a regra.</w:t>
      </w:r>
    </w:p>
    <w:p>
      <w:pPr>
        <w:pStyle w:val="FirstParagraph"/>
      </w:pPr>
      <w:r>
        <w:rPr>
          <w:lang w:val="pt-BR"/>
        </w:rPr>
        <w:t xml:space="preserve">vazamento Gov.br · 251M CPFs</w:t>
      </w:r>
    </w:p>
    <w:p>
      <w:pPr>
        <w:pStyle w:val="BodyText"/>
      </w:pPr>
      <w:r>
        <w:rPr>
          <w:lang w:val="pt-BR"/>
        </w:rPr>
        <w:t xml:space="preserve">INSS · indef. sem motivação</w:t>
      </w:r>
    </w:p>
    <w:p>
      <w:pPr>
        <w:pStyle w:val="BodyText"/>
      </w:pPr>
      <w:r>
        <w:rPr>
          <w:lang w:val="pt-BR"/>
        </w:rPr>
        <w:t xml:space="preserve">TJ-MA · IA · 80 → 969</w:t>
      </w:r>
    </w:p>
    <w:p>
      <w:pPr>
        <w:pStyle w:val="BodyText"/>
      </w:pPr>
      <w:r>
        <w:rPr>
          <w:lang w:val="pt-BR"/>
        </w:rPr>
        <w:t xml:space="preserve">MP 954 · STF ADI 6.387</w:t>
      </w:r>
    </w:p>
    <w:p>
      <w:pPr>
        <w:pStyle w:val="BodyText"/>
      </w:pPr>
      <w:r>
        <w:rPr>
          <w:lang w:val="pt-BR"/>
        </w:rPr>
        <w:t xml:space="preserve">LAI art. 23 · sigilo seletivo</w:t>
      </w:r>
    </w:p>
    <w:bookmarkEnd w:id="17"/>
    <w:bookmarkEnd w:id="18"/>
    <w:bookmarkStart w:id="20" w:name="parte-i-divisor"/>
    <w:p>
      <w:pPr>
        <w:pStyle w:val="Heading2"/>
      </w:pPr>
      <w:r>
        <w:rPr>
          <w:lang w:val="pt-BR"/>
        </w:rPr>
        <w:t xml:space="preserve">04 Parte I divisor</w:t>
      </w:r>
    </w:p>
    <w:bookmarkStart w:id="19" w:name="proteção-de-dados-governo-aberto."/>
    <w:p>
      <w:pPr>
        <w:pStyle w:val="Heading3"/>
      </w:pPr>
      <w:r>
        <w:rPr>
          <w:lang w:val="pt-BR"/>
        </w:rPr>
        <w:t xml:space="preserve">Proteção de dados&amp; governo aberto.</w:t>
      </w:r>
    </w:p>
    <w:bookmarkEnd w:id="19"/>
    <w:bookmarkEnd w:id="20"/>
    <w:bookmarkStart w:id="22" w:name="privacidade-complexa"/>
    <w:p>
      <w:pPr>
        <w:pStyle w:val="Heading2"/>
      </w:pPr>
      <w:r>
        <w:rPr>
          <w:lang w:val="pt-BR"/>
        </w:rPr>
        <w:t xml:space="preserve">05 Privacidade complexa</w:t>
      </w:r>
    </w:p>
    <w:bookmarkStart w:id="21" w:name="X255ee636c6edd1a07b2d5d18acb45cf00d5e6ed"/>
    <w:p>
      <w:pPr>
        <w:pStyle w:val="Heading3"/>
      </w:pPr>
      <w:r>
        <w:rPr>
          <w:lang w:val="pt-BR"/>
        </w:rPr>
        <w:t xml:space="preserve">A privacidade como direito fundamental complexo.</w:t>
      </w:r>
    </w:p>
    <w:p>
      <w:pPr>
        <w:pStyle w:val="FirstParagraph"/>
      </w:pPr>
      <w:r>
        <w:rPr>
          <w:lang w:val="pt-BR"/>
        </w:rPr>
        <w:t xml:space="preserve">Não há mais como reduzir a privacidade a uma esfera de retraimento contra o Estado: ela é um feixe de pretensões, posições e deveres que se irradiam pela ordem constitucional.</w:t>
      </w:r>
    </w:p>
    <w:p>
      <w:pPr>
        <w:pStyle w:val="BodyText"/>
      </w:pPr>
      <w:r>
        <w:rPr>
          <w:lang w:val="pt-BR"/>
        </w:rPr>
        <w:t xml:space="preserve">Salgado e Saito mobilizam a noção de multifuncionalidade dos direitos fundamentais para sustentar que a proteção de dados pessoais não se esgota na clássica função de defesa contra ingerências do poder público. Ela carrega, simultaneamente, uma função de prestação normativa — exigir do Estado a edição de leis protetivas, como a LGPD — e uma função de prestação fática, exigindo políticas, autoridades e instituições.</w:t>
      </w:r>
    </w:p>
    <w:p>
      <w:pPr>
        <w:pStyle w:val="BodyText"/>
      </w:pPr>
      <w:r>
        <w:rPr>
          <w:lang w:val="pt-BR"/>
        </w:rPr>
        <w:t xml:space="preserve">O argumento desloca a discussão técnica para o terreno constitucional: a privacidade vincula todos os Poderes, e o legislador não cumpre a Constituição apenas se abstendo, mas também produzindo o arcabouço protetivo que dá densidade ao direito.</w:t>
      </w:r>
    </w:p>
    <w:p>
      <w:pPr>
        <w:pStyle w:val="BodyText"/>
      </w:pPr>
      <w:r>
        <w:rPr>
          <w:lang w:val="pt-BR"/>
        </w:rPr>
        <w:t xml:space="preserve">Ao desenhar essa moldura, os autores criam o vocabulário que vai amparar a leitura dos artigos seguintes — e que será determinante quando a discussão chegar à decisão automatizada.</w:t>
      </w:r>
    </w:p>
    <w:p>
      <w:pPr>
        <w:pStyle w:val="BodyText"/>
      </w:pPr>
      <w:r>
        <w:rPr>
          <w:lang w:val="pt-BR"/>
        </w:rPr>
        <w:t xml:space="preserve">— Salgado &amp; Saito, 2020, p. 124</w:t>
      </w:r>
    </w:p>
    <w:bookmarkEnd w:id="21"/>
    <w:bookmarkEnd w:id="22"/>
    <w:bookmarkStart w:id="24" w:name="três-funções"/>
    <w:p>
      <w:pPr>
        <w:pStyle w:val="Heading2"/>
      </w:pPr>
      <w:r>
        <w:rPr>
          <w:lang w:val="pt-BR"/>
        </w:rPr>
        <w:t xml:space="preserve">06 Três funções</w:t>
      </w:r>
    </w:p>
    <w:bookmarkStart w:id="23" w:name="Xf082e8b1ab985a34df53b9296ea881c0025dd26"/>
    <w:p>
      <w:pPr>
        <w:pStyle w:val="Heading3"/>
      </w:pPr>
      <w:r>
        <w:rPr>
          <w:lang w:val="pt-BR"/>
        </w:rPr>
        <w:t xml:space="preserve">Três funções simultâneas — e nenhuma delas exclui as outras.</w:t>
      </w:r>
    </w:p>
    <w:p>
      <w:pPr>
        <w:pStyle w:val="FirstParagraph"/>
      </w:pPr>
      <w:r>
        <w:rPr>
          <w:lang w:val="pt-BR"/>
        </w:rPr>
        <w:t xml:space="preserve">i. Defesa. Contra ingerências do Estado — vigilância, retenção, compartilhamento sem finalidade. Esta é a função clássica, a que a LGPD não abandona.</w:t>
      </w:r>
    </w:p>
    <w:p>
      <w:pPr>
        <w:pStyle w:val="BodyText"/>
      </w:pPr>
      <w:r>
        <w:rPr>
          <w:lang w:val="pt-BR"/>
        </w:rPr>
        <w:t xml:space="preserve">ii. Prestação normativa. Dever de o legislador produzir o arcabouço protetivo: a própria LGPD, o regulamento da ANPD, instrumentos de tutela coletiva. O silêncio legislativo é, ele próprio, inconstitucional.</w:t>
      </w:r>
    </w:p>
    <w:p>
      <w:pPr>
        <w:pStyle w:val="BodyText"/>
      </w:pPr>
      <w:r>
        <w:rPr>
          <w:lang w:val="pt-BR"/>
        </w:rPr>
        <w:t xml:space="preserve">iii. Prestação fática. Estrutura administrativa para tornar o direito efetivo: ANPD, encarregados, canais de exercício de direitos, fiscalização. Sem instituição, a norma é decorativa.</w:t>
      </w:r>
    </w:p>
    <w:p>
      <w:pPr>
        <w:pStyle w:val="BodyText"/>
      </w:pPr>
      <w:r>
        <w:rPr>
          <w:lang w:val="pt-BR"/>
        </w:rPr>
        <w:t xml:space="preserve">A leitura é decisiva: regular não substitui defender. Quem trata os dados — o Estado, em larga medida — segue sendo aquele de quem o cidadão precisa ser defendido.</w:t>
      </w:r>
    </w:p>
    <w:bookmarkEnd w:id="23"/>
    <w:bookmarkEnd w:id="24"/>
    <w:bookmarkStart w:id="26" w:name="lgpd-gerações"/>
    <w:p>
      <w:pPr>
        <w:pStyle w:val="Heading2"/>
      </w:pPr>
      <w:r>
        <w:rPr>
          <w:lang w:val="pt-BR"/>
        </w:rPr>
        <w:t xml:space="preserve">07 LGPD gerações</w:t>
      </w:r>
    </w:p>
    <w:bookmarkStart w:id="25" w:name="Xfa18d53986eee58b82d043ebd0f860ee480e697"/>
    <w:p>
      <w:pPr>
        <w:pStyle w:val="Heading3"/>
      </w:pPr>
      <w:r>
        <w:rPr>
          <w:lang w:val="pt-BR"/>
        </w:rPr>
        <w:t xml:space="preserve">A LGPD, lida em quatro ondas da história europeia.</w:t>
      </w:r>
    </w:p>
    <w:p>
      <w:pPr>
        <w:pStyle w:val="FirstParagraph"/>
      </w:pPr>
      <w:r>
        <w:rPr>
          <w:lang w:val="pt-BR"/>
        </w:rPr>
        <w:t xml:space="preserve">Hesse (1970), Suécia (1973), Privacy Act EUA (1974). Foco em bancos de dados estatais — contenção do regulador-coletor.</w:t>
      </w:r>
    </w:p>
    <w:p>
      <w:pPr>
        <w:pStyle w:val="BodyText"/>
      </w:pPr>
      <w:r>
        <w:rPr>
          <w:lang w:val="pt-BR"/>
        </w:rPr>
        <w:t xml:space="preserve">Modelo francês (1978). Ainda baseada na privacidade como liberdade negativa — dever de abstenção do poder público.</w:t>
      </w:r>
    </w:p>
    <w:p>
      <w:pPr>
        <w:pStyle w:val="BodyText"/>
      </w:pPr>
      <w:r>
        <w:rPr>
          <w:lang w:val="pt-BR"/>
        </w:rPr>
        <w:t xml:space="preserve">Reconhece a vulnerabilidade do usuário. Princípios europeus — finalidade, qualidade, segurança — ganham densidade institucional.</w:t>
      </w:r>
    </w:p>
    <w:p>
      <w:pPr>
        <w:pStyle w:val="BodyText"/>
      </w:pPr>
      <w:r>
        <w:rPr>
          <w:lang w:val="pt-BR"/>
        </w:rPr>
        <w:t xml:space="preserve">GDPR (2016) e LGPD (2018). Direitos do titular, ANPD, compliance e sanções do regulador.</w:t>
      </w:r>
    </w:p>
    <w:p>
      <w:pPr>
        <w:pStyle w:val="BodyText"/>
      </w:pPr>
      <w:r>
        <w:rPr>
          <w:lang w:val="pt-BR"/>
        </w:rPr>
        <w:t xml:space="preserve">A LGPD brasileira é geneticamente híbrida: terceira-quarta geração — mas inscrita num Estado que ainda exibe traços da primeira. O regulador-coletor segue sendo a maior fonte de risco.</w:t>
      </w:r>
    </w:p>
    <w:bookmarkEnd w:id="25"/>
    <w:bookmarkEnd w:id="26"/>
    <w:bookmarkStart w:id="28" w:name="anpd-limites"/>
    <w:p>
      <w:pPr>
        <w:pStyle w:val="Heading2"/>
      </w:pPr>
      <w:r>
        <w:rPr>
          <w:lang w:val="pt-BR"/>
        </w:rPr>
        <w:t xml:space="preserve">08 ANPD limites</w:t>
      </w:r>
    </w:p>
    <w:bookmarkStart w:id="27" w:name="X8a72e13c823a4c71fd9bc3c68794e564e71b52e"/>
    <w:p>
      <w:pPr>
        <w:pStyle w:val="Heading3"/>
      </w:pPr>
      <w:r>
        <w:rPr>
          <w:lang w:val="pt-BR"/>
        </w:rPr>
        <w:t xml:space="preserve">A ANPD e o limite da prestação normativa.</w:t>
      </w:r>
    </w:p>
    <w:p>
      <w:pPr>
        <w:pStyle w:val="FirstParagraph"/>
      </w:pPr>
      <w:r>
        <w:rPr>
          <w:lang w:val="pt-BR"/>
        </w:rPr>
        <w:t xml:space="preserve">A ANPD nasce, em 2018, sem autonomia, sem orçamento próprio, vinculada à Presidência. Estrutura mínima para uma tarefa máxima.</w:t>
      </w:r>
    </w:p>
    <w:p>
      <w:pPr>
        <w:pStyle w:val="BodyText"/>
      </w:pPr>
      <w:r>
        <w:rPr>
          <w:lang w:val="pt-BR"/>
        </w:rPr>
        <w:t xml:space="preserve">A criação tardia da autoridade — e a fragilidade institucional persistente — confirma o argumento central de Salgado e Saito: a prestação normativa sem prestação fática é insuficiente.</w:t>
      </w:r>
    </w:p>
    <w:p>
      <w:pPr>
        <w:pStyle w:val="BodyText"/>
      </w:pPr>
      <w:r>
        <w:rPr>
          <w:lang w:val="pt-BR"/>
        </w:rPr>
        <w:t xml:space="preserve">Sem a ANPD operante, a função de defesa volta a depender do controle externo — STF, Ministério Público, Defensoria — e do próprio cidadão, em uma assimetria que a LGPD se propunha a corrigir.</w:t>
      </w:r>
    </w:p>
    <w:p>
      <w:pPr>
        <w:pStyle w:val="BodyText"/>
      </w:pPr>
      <w:r>
        <w:rPr>
          <w:lang w:val="pt-BR"/>
        </w:rPr>
        <w:t xml:space="preserve">O retrato é, portanto, ambíguo: temos um direito robusto no papel que esbarra em uma estrutura administrativa frágil para concretizá-lo.</w:t>
      </w:r>
    </w:p>
    <w:bookmarkEnd w:id="27"/>
    <w:bookmarkEnd w:id="28"/>
    <w:bookmarkStart w:id="30" w:name="nossa-leitura-i"/>
    <w:p>
      <w:pPr>
        <w:pStyle w:val="Heading2"/>
      </w:pPr>
      <w:r>
        <w:rPr>
          <w:lang w:val="pt-BR"/>
        </w:rPr>
        <w:t xml:space="preserve">09 ★ Nossa leitura I</w:t>
      </w:r>
    </w:p>
    <w:bookmarkStart w:id="29" w:name="Xeccf3ed3d698245fb750fd7b193ac7f312256d1"/>
    <w:p>
      <w:pPr>
        <w:pStyle w:val="Heading3"/>
      </w:pPr>
      <w:r>
        <w:rPr>
          <w:lang w:val="pt-BR"/>
        </w:rPr>
        <w:t xml:space="preserve">A função de defesa persiste — e o caso brasileiro acaba de provar.</w:t>
      </w:r>
    </w:p>
    <w:p>
      <w:pPr>
        <w:pStyle w:val="FirstParagraph"/>
      </w:pPr>
      <w:r>
        <w:rPr>
          <w:lang w:val="pt-BR"/>
        </w:rPr>
        <w:t xml:space="preserve">O coração da tese deste seminário já está em Salgado &amp; Saito, em uma única ressalva: a regulação não anula a função de defesa do direito fundamental. O Estado segue sendo, nas palavras dos autores, "um poderoso agente de tratamento" — e a LGPD, longe de neutralizar essa dimensão, a confirma.</w:t>
      </w:r>
    </w:p>
    <w:p>
      <w:pPr>
        <w:pStyle w:val="BodyText"/>
      </w:pPr>
      <w:r>
        <w:rPr>
          <w:lang w:val="pt-BR"/>
        </w:rPr>
        <w:t xml:space="preserve">A prova prática chegou rápido. Snowden mostrou que o aparato estatal é, por definição, o maior coletor. A MP 954/2020, no Brasil, transferiu dados de telecom para o IBGE sem finalidade clara — e foi preciso o STF, na ADI 6.387, conter o regulador-coletor.</w:t>
      </w:r>
    </w:p>
    <w:p>
      <w:pPr>
        <w:pStyle w:val="BodyText"/>
      </w:pPr>
      <w:r>
        <w:rPr>
          <w:lang w:val="pt-BR"/>
        </w:rPr>
        <w:t xml:space="preserve">O regulador não se autodefende. Foi necessário outro Poder.</w:t>
      </w:r>
    </w:p>
    <w:p>
      <w:pPr>
        <w:pStyle w:val="BodyText"/>
      </w:pPr>
      <w:r>
        <w:rPr>
          <w:lang w:val="pt-BR"/>
        </w:rPr>
        <w:t xml:space="preserve">É o sujeito que precisa, ainda hoje, ser protegido contra o aparato que escreve a norma. No nosso Conselho de Contestação Algorítmica, esta voz carrega Salgado &amp; Saito — a autodeterminação informativa do administrado em face do regulador-coletor.</w:t>
      </w:r>
    </w:p>
    <w:p>
      <w:pPr>
        <w:pStyle w:val="BodyText"/>
      </w:pPr>
      <w:r>
        <w:rPr>
          <w:lang w:val="pt-BR"/>
        </w:rPr>
        <w:t xml:space="preserve">Voz do art. i · Mapeada 1:1 com o Conselho.</w:t>
      </w:r>
    </w:p>
    <w:p>
      <w:pPr>
        <w:pStyle w:val="BodyText"/>
      </w:pPr>
      <w:r>
        <w:rPr>
          <w:lang w:val="pt-BR"/>
        </w:rPr>
        <w:t xml:space="preserve">cit. STF · ADI 6.387 · Min. Rosa Weber · maio de 2020 — "O Estado, ao tratar dados, não deixa de ser destinatário do direito fundamental."</w:t>
      </w:r>
    </w:p>
    <w:bookmarkEnd w:id="29"/>
    <w:bookmarkEnd w:id="30"/>
    <w:bookmarkStart w:id="35" w:name="governo-aberto"/>
    <w:p>
      <w:pPr>
        <w:pStyle w:val="Heading2"/>
      </w:pPr>
      <w:r>
        <w:rPr>
          <w:lang w:val="pt-BR"/>
        </w:rPr>
        <w:t xml:space="preserve">10 Governo aberto</w:t>
      </w:r>
    </w:p>
    <w:bookmarkStart w:id="31" w:name="três-marcos-articulados-num-único-ciclo."/>
    <w:p>
      <w:pPr>
        <w:pStyle w:val="Heading3"/>
      </w:pPr>
      <w:r>
        <w:rPr>
          <w:lang w:val="pt-BR"/>
        </w:rPr>
        <w:t xml:space="preserve">Três marcos articulados num único ciclo.</w:t>
      </w:r>
    </w:p>
    <w:bookmarkEnd w:id="31"/>
    <w:bookmarkStart w:id="32" w:name="mark-moore."/>
    <w:p>
      <w:pPr>
        <w:pStyle w:val="Heading3"/>
      </w:pPr>
      <w:r>
        <w:rPr>
          <w:lang w:val="pt-BR"/>
        </w:rPr>
        <w:t xml:space="preserve">Mark Moore.</w:t>
      </w:r>
    </w:p>
    <w:p>
      <w:pPr>
        <w:pStyle w:val="FirstParagraph"/>
      </w:pPr>
      <w:r>
        <w:rPr>
          <w:lang w:val="pt-BR"/>
        </w:rPr>
        <w:t xml:space="preserve">Valor público como critério de desempenho: gestores devem maximizar benefícios para a coletividade. Revisitado em Recognizing Public Value (2013).</w:t>
      </w:r>
    </w:p>
    <w:bookmarkEnd w:id="32"/>
    <w:bookmarkStart w:id="33" w:name="dunleavy."/>
    <w:p>
      <w:pPr>
        <w:pStyle w:val="Heading3"/>
      </w:pPr>
      <w:r>
        <w:rPr>
          <w:lang w:val="pt-BR"/>
        </w:rPr>
        <w:t xml:space="preserve">Dunleavy.</w:t>
      </w:r>
    </w:p>
    <w:p>
      <w:pPr>
        <w:pStyle w:val="FirstParagraph"/>
      </w:pPr>
      <w:r>
        <w:rPr>
          <w:lang w:val="pt-BR"/>
        </w:rPr>
        <w:t xml:space="preserve">Sucede a New Public Management. Duas ondas: (i) reintegração de serviços e digitalização; (ii) web social, cloud, apps. Fluxo de informação como elo Estado–cidadão.</w:t>
      </w:r>
    </w:p>
    <w:bookmarkEnd w:id="33"/>
    <w:bookmarkStart w:id="34" w:name="ocde."/>
    <w:p>
      <w:pPr>
        <w:pStyle w:val="Heading3"/>
      </w:pPr>
      <w:r>
        <w:rPr>
          <w:lang w:val="pt-BR"/>
        </w:rPr>
        <w:t xml:space="preserve">OCDE.</w:t>
      </w:r>
    </w:p>
    <w:p>
      <w:pPr>
        <w:pStyle w:val="FirstParagraph"/>
      </w:pPr>
      <w:r>
        <w:rPr>
          <w:lang w:val="pt-BR"/>
        </w:rPr>
        <w:t xml:space="preserve">Três áreas: governo de dados, dados para valor público, dados para confiança. Meta: serviços públicos melhores com salvaguardas éticas.</w:t>
      </w:r>
    </w:p>
    <w:p>
      <w:pPr>
        <w:pStyle w:val="BodyText"/>
      </w:pPr>
      <w:r>
        <w:rPr>
          <w:lang w:val="pt-BR"/>
        </w:rPr>
        <w:t xml:space="preserve">A pergunta deixa de ser "o Estado é transparente?" — e passa a ser "quem consegue ler os dados que ele abriu?"</w:t>
      </w:r>
    </w:p>
    <w:bookmarkEnd w:id="34"/>
    <w:bookmarkEnd w:id="35"/>
    <w:bookmarkStart w:id="37" w:name="inda-4-princípios"/>
    <w:p>
      <w:pPr>
        <w:pStyle w:val="Heading2"/>
      </w:pPr>
      <w:r>
        <w:rPr>
          <w:lang w:val="pt-BR"/>
        </w:rPr>
        <w:t xml:space="preserve">11 INDA 4 princípios</w:t>
      </w:r>
    </w:p>
    <w:bookmarkStart w:id="36" w:name="X4477eca0c3c3ee725b2717db8ee8fa44b6732ae"/>
    <w:p>
      <w:pPr>
        <w:pStyle w:val="Heading3"/>
      </w:pPr>
      <w:r>
        <w:rPr>
          <w:lang w:val="pt-BR"/>
        </w:rPr>
        <w:t xml:space="preserve">Os quatro princípios que orientam a abertura.</w:t>
      </w:r>
    </w:p>
    <w:p>
      <w:pPr>
        <w:pStyle w:val="FirstParagraph"/>
      </w:pPr>
      <w:r>
        <w:rPr>
          <w:lang w:val="pt-BR"/>
        </w:rPr>
        <w:t xml:space="preserve">i. Transparência. Publicidade ativa de informações, formatos abertos, atualização sistemática.</w:t>
      </w:r>
    </w:p>
    <w:p>
      <w:pPr>
        <w:pStyle w:val="BodyText"/>
      </w:pPr>
      <w:r>
        <w:rPr>
          <w:lang w:val="pt-BR"/>
        </w:rPr>
        <w:t xml:space="preserve">ii. Accountability. Possibilidade efetiva de pedir contas — não apenas ver, mas responsabilizar.</w:t>
      </w:r>
    </w:p>
    <w:p>
      <w:pPr>
        <w:pStyle w:val="BodyText"/>
      </w:pPr>
      <w:r>
        <w:rPr>
          <w:lang w:val="pt-BR"/>
        </w:rPr>
        <w:t xml:space="preserve">iii. Participação. Canais para que o dado virado público alimente deliberação, e não só consulta.</w:t>
      </w:r>
    </w:p>
    <w:p>
      <w:pPr>
        <w:pStyle w:val="BodyText"/>
      </w:pPr>
      <w:r>
        <w:rPr>
          <w:lang w:val="pt-BR"/>
        </w:rPr>
        <w:t xml:space="preserve">iv. Tecnologia. Padrões, APIs e interoperabilidade — sem os quais a abertura é apenas publicação inerte.</w:t>
      </w:r>
    </w:p>
    <w:p>
      <w:pPr>
        <w:pStyle w:val="BodyText"/>
      </w:pPr>
      <w:r>
        <w:rPr>
          <w:lang w:val="pt-BR"/>
        </w:rPr>
        <w:t xml:space="preserve">A INDA, criada em 2012, ainda hoje é pedra de toque. Mas sua implementação convive com vazios de governança que reaparecem nas barreiras estruturais do slide seguinte.</w:t>
      </w:r>
    </w:p>
    <w:bookmarkEnd w:id="36"/>
    <w:bookmarkEnd w:id="37"/>
    <w:bookmarkStart w:id="39" w:name="marco-normativo"/>
    <w:p>
      <w:pPr>
        <w:pStyle w:val="Heading2"/>
      </w:pPr>
      <w:r>
        <w:rPr>
          <w:lang w:val="pt-BR"/>
        </w:rPr>
        <w:t xml:space="preserve">12 Marco normativo</w:t>
      </w:r>
    </w:p>
    <w:bookmarkStart w:id="38" w:name="X097de890158a7e9d53c86a505507a5972781e38"/>
    <w:p>
      <w:pPr>
        <w:pStyle w:val="Heading3"/>
      </w:pPr>
      <w:r>
        <w:rPr>
          <w:lang w:val="pt-BR"/>
        </w:rPr>
        <w:t xml:space="preserve">Da Constituição à Lei do Governo Digital — um arcabouço normativo, agora completo.</w:t>
      </w:r>
    </w:p>
    <w:p>
      <w:pPr>
        <w:pStyle w:val="FirstParagraph"/>
      </w:pPr>
      <w:r>
        <w:rPr>
          <w:lang w:val="pt-BR"/>
        </w:rPr>
        <w:t xml:space="preserve">A Constituição de 1988 inscreveu publicidade como princípio da Administração (art. 37) e habeas data como instrumento (art. 5º, LXXII). De lá para cá, o legislador foi adensando o vocabulário.</w:t>
      </w:r>
    </w:p>
    <w:p>
      <w:pPr>
        <w:pStyle w:val="BodyText"/>
      </w:pPr>
      <w:r>
        <w:rPr>
          <w:lang w:val="pt-BR"/>
        </w:rPr>
        <w:t xml:space="preserve">A Lei de Responsabilidade Fiscal (LC 101/2000) introduz a transparência ativa de finanças públicas. A Lei de Acesso à Informação (12.527/2011) generaliza a transparência passiva e ativa — e, simultaneamente, regulamenta o sigilo (art. 23).</w:t>
      </w:r>
    </w:p>
    <w:p>
      <w:pPr>
        <w:pStyle w:val="BodyText"/>
      </w:pPr>
      <w:r>
        <w:rPr>
          <w:lang w:val="pt-BR"/>
        </w:rPr>
        <w:t xml:space="preserve">A Lei do Marco Civil (12.965/2014) traz a neutralidade e a proteção de dados como princípios da internet. A LGPD (13.709/2018) define o regime geral. A Lei do Governo Digital (14.129/2021) consolida — e cria o federalismo de adesão.</w:t>
      </w:r>
    </w:p>
    <w:p>
      <w:pPr>
        <w:pStyle w:val="BodyText"/>
      </w:pPr>
      <w:r>
        <w:rPr>
          <w:lang w:val="pt-BR"/>
        </w:rPr>
        <w:t xml:space="preserve">Vinte anos, sete leis-chave: um arcabouço completo no papel. A pergunta seguinte, dos próprios autores, é o que se faz com ele.</w:t>
      </w:r>
    </w:p>
    <w:bookmarkEnd w:id="38"/>
    <w:bookmarkEnd w:id="39"/>
    <w:bookmarkStart w:id="41" w:name="boas-práticas"/>
    <w:p>
      <w:pPr>
        <w:pStyle w:val="Heading2"/>
      </w:pPr>
      <w:r>
        <w:rPr>
          <w:lang w:val="pt-BR"/>
        </w:rPr>
        <w:t xml:space="preserve">13 Boas práticas</w:t>
      </w:r>
    </w:p>
    <w:bookmarkStart w:id="40" w:name="Xd6e6b1a317566f8eabedcd0327d8b59fcc9dd12"/>
    <w:p>
      <w:pPr>
        <w:pStyle w:val="Heading3"/>
      </w:pPr>
      <w:r>
        <w:rPr>
          <w:lang w:val="pt-BR"/>
        </w:rPr>
        <w:t xml:space="preserve">Portais municipais — e o limite da transparência.</w:t>
      </w:r>
    </w:p>
    <w:p>
      <w:pPr>
        <w:pStyle w:val="FirstParagraph"/>
      </w:pPr>
      <w:r>
        <w:rPr>
          <w:lang w:val="pt-BR"/>
        </w:rPr>
        <w:t xml:space="preserve">Decreto 2021 — Estratégia de Transformação Digital da PCR</w:t>
      </w:r>
    </w:p>
    <w:p>
      <w:pPr>
        <w:pStyle w:val="BodyText"/>
      </w:pPr>
      <w:r>
        <w:rPr>
          <w:lang w:val="pt-BR"/>
        </w:rPr>
        <w:t xml:space="preserve">Conecta Recife — serviços e informações</w:t>
      </w:r>
    </w:p>
    <w:p>
      <w:pPr>
        <w:pStyle w:val="BodyText"/>
      </w:pPr>
      <w:r>
        <w:rPr>
          <w:lang w:val="pt-BR"/>
        </w:rPr>
        <w:t xml:space="preserve">Portal da Transparência — publicidade de dados</w:t>
      </w:r>
    </w:p>
    <w:p>
      <w:pPr>
        <w:pStyle w:val="BodyText"/>
      </w:pPr>
      <w:r>
        <w:rPr>
          <w:lang w:val="pt-BR"/>
        </w:rPr>
        <w:t xml:space="preserve">3 Selos Ouro consecutivos</w:t>
      </w:r>
    </w:p>
    <w:p>
      <w:pPr>
        <w:pStyle w:val="BodyText"/>
      </w:pPr>
      <w:r>
        <w:rPr>
          <w:lang w:val="pt-BR"/>
        </w:rPr>
        <w:t xml:space="preserve">SMIT · Dec. 57.653/2017</w:t>
      </w:r>
    </w:p>
    <w:p>
      <w:pPr>
        <w:pStyle w:val="BodyText"/>
      </w:pPr>
      <w:r>
        <w:rPr>
          <w:lang w:val="pt-BR"/>
        </w:rPr>
        <w:t xml:space="preserve">SP156 — serviços digitais</w:t>
      </w:r>
    </w:p>
    <w:p>
      <w:pPr>
        <w:pStyle w:val="BodyText"/>
      </w:pPr>
      <w:r>
        <w:rPr>
          <w:lang w:val="pt-BR"/>
        </w:rPr>
        <w:t xml:space="preserve">Atendimento digital e assistido</w:t>
      </w:r>
    </w:p>
    <w:p>
      <w:pPr>
        <w:pStyle w:val="BodyText"/>
      </w:pPr>
      <w:r>
        <w:rPr>
          <w:lang w:val="pt-BR"/>
        </w:rPr>
        <w:t xml:space="preserve">Descomplica Digital — atendimento assistido</w:t>
      </w:r>
    </w:p>
    <w:p>
      <w:pPr>
        <w:pStyle w:val="BodyText"/>
      </w:pPr>
      <w:r>
        <w:rPr>
          <w:lang w:val="pt-BR"/>
        </w:rPr>
        <w:t xml:space="preserve">GeoPortal — camadas e downloads vetoriais</w:t>
      </w:r>
    </w:p>
    <w:p>
      <w:pPr>
        <w:pStyle w:val="BodyText"/>
      </w:pPr>
      <w:r>
        <w:rPr>
          <w:lang w:val="pt-BR"/>
        </w:rPr>
        <w:t xml:space="preserve">Viabilidades urbanísticas automatizadas</w:t>
      </w:r>
    </w:p>
    <w:p>
      <w:pPr>
        <w:pStyle w:val="BodyText"/>
      </w:pPr>
      <w:r>
        <w:rPr>
          <w:lang w:val="pt-BR"/>
        </w:rPr>
        <w:t xml:space="preserve">ISS &amp; alvará sanitário — online setoriais</w:t>
      </w:r>
    </w:p>
    <w:p>
      <w:pPr>
        <w:pStyle w:val="BodyText"/>
      </w:pPr>
      <w:r>
        <w:rPr>
          <w:lang w:val="pt-BR"/>
        </w:rPr>
        <w:t xml:space="preserve">Questão de leitura · integração de jornadas</w:t>
      </w:r>
    </w:p>
    <w:bookmarkEnd w:id="40"/>
    <w:bookmarkEnd w:id="41"/>
    <w:bookmarkStart w:id="43" w:name="nossa-leitura-ii"/>
    <w:p>
      <w:pPr>
        <w:pStyle w:val="Heading2"/>
      </w:pPr>
      <w:r>
        <w:rPr>
          <w:lang w:val="pt-BR"/>
        </w:rPr>
        <w:t xml:space="preserve">14 ★ Nossa leitura II</w:t>
      </w:r>
    </w:p>
    <w:bookmarkStart w:id="42" w:name="Xf23445a57e7fc551fc28356e99a8fab8a7f97a8"/>
    <w:p>
      <w:pPr>
        <w:pStyle w:val="Heading3"/>
      </w:pPr>
      <w:r>
        <w:rPr>
          <w:lang w:val="pt-BR"/>
        </w:rPr>
        <w:t xml:space="preserve">A mesma LAI que abre, fecha — o Estado decide o que abre de si mesmo.</w:t>
      </w:r>
    </w:p>
    <w:p>
      <w:pPr>
        <w:pStyle w:val="FirstParagraph"/>
      </w:pPr>
      <w:r>
        <w:rPr>
          <w:lang w:val="pt-BR"/>
        </w:rPr>
        <w:t xml:space="preserve">Cristóvam e Hahn tratam abertura, transparência, proteção e regulação como ciclo único. Mas existe uma assimetria estrutural que merece nome: a abertura é um dever jurídico do Estado e, ao mesmo tempo, é o próprio Estado quem decide o que abre.</w:t>
      </w:r>
    </w:p>
    <w:p>
      <w:pPr>
        <w:pStyle w:val="BodyText"/>
      </w:pPr>
      <w:r>
        <w:rPr>
          <w:lang w:val="pt-BR"/>
        </w:rPr>
        <w:t xml:space="preserve">A LAI, no art. 23, autoriza a classificação como reservado, secreto ou ultrassecreto. Recife, SP, Florianópolis são boas práticas; a opacidade seletiva é a prática corrente. O regulador da transparência também é o operador do sigilo.</w:t>
      </w:r>
    </w:p>
    <w:p>
      <w:pPr>
        <w:pStyle w:val="BodyText"/>
      </w:pPr>
      <w:r>
        <w:rPr>
          <w:lang w:val="pt-BR"/>
        </w:rPr>
        <w:t xml:space="preserve">É a tensão que define a persona Administrador Público: governança que promete abertura e controla as chaves do sigilo.</w:t>
      </w:r>
    </w:p>
    <w:p>
      <w:pPr>
        <w:pStyle w:val="BodyText"/>
      </w:pPr>
      <w:r>
        <w:rPr>
          <w:lang w:val="pt-BR"/>
        </w:rPr>
        <w:t xml:space="preserve">Voz da governança: capacidade técnica, dever de transparência ativa, fundamentação. Mas também: discricionariedade na classificação do sigilo, na seleção do que se publica, na arquitetura do portal.</w:t>
      </w:r>
    </w:p>
    <w:p>
      <w:pPr>
        <w:pStyle w:val="BodyText"/>
      </w:pPr>
      <w:r>
        <w:rPr>
          <w:lang w:val="pt-BR"/>
        </w:rPr>
        <w:t xml:space="preserve">Voz do art. ii · Mapeada 1:1 com o Conselho.</w:t>
      </w:r>
    </w:p>
    <w:p>
      <w:pPr>
        <w:pStyle w:val="BodyText"/>
      </w:pPr>
      <w:r>
        <w:rPr>
          <w:lang w:val="pt-BR"/>
        </w:rPr>
        <w:t xml:space="preserve">cit. LAI · art. 23 — informações classificadas em três graus de sigilo. O Estado escreve o que pode ser ocultado dele mesmo.</w:t>
      </w:r>
    </w:p>
    <w:bookmarkEnd w:id="42"/>
    <w:bookmarkEnd w:id="43"/>
    <w:bookmarkStart w:id="48" w:name="síntese-parte-i"/>
    <w:p>
      <w:pPr>
        <w:pStyle w:val="Heading2"/>
      </w:pPr>
      <w:r>
        <w:rPr>
          <w:lang w:val="pt-BR"/>
        </w:rPr>
        <w:t xml:space="preserve">15 Síntese Parte I</w:t>
      </w:r>
    </w:p>
    <w:bookmarkStart w:id="44" w:name="Xeacd101cadfc7a6e7934108564f16a51012ad46"/>
    <w:p>
      <w:pPr>
        <w:pStyle w:val="Heading3"/>
      </w:pPr>
      <w:r>
        <w:rPr>
          <w:lang w:val="pt-BR"/>
        </w:rPr>
        <w:t xml:space="preserve">O ciclo proteção ↔ abertura — e seu ponto cego.</w:t>
      </w:r>
    </w:p>
    <w:bookmarkEnd w:id="44"/>
    <w:bookmarkStart w:id="45" w:name="defesa-que-persiste."/>
    <w:p>
      <w:pPr>
        <w:pStyle w:val="Heading3"/>
      </w:pPr>
      <w:r>
        <w:rPr>
          <w:lang w:val="pt-BR"/>
        </w:rPr>
        <w:t xml:space="preserve">Defesa que persiste.</w:t>
      </w:r>
    </w:p>
    <w:p>
      <w:pPr>
        <w:pStyle w:val="FirstParagraph"/>
      </w:pPr>
      <w:r>
        <w:rPr>
          <w:lang w:val="pt-BR"/>
        </w:rPr>
        <w:t xml:space="preserve">Salgado &amp; Saito: o direito fundamental complexo não se reduz à LGPD; a função de defesa segue ativa. O Estado é o maior agente de tratamento.</w:t>
      </w:r>
    </w:p>
    <w:bookmarkEnd w:id="45"/>
    <w:bookmarkStart w:id="46" w:name="transparência-seletiva."/>
    <w:p>
      <w:pPr>
        <w:pStyle w:val="Heading3"/>
      </w:pPr>
      <w:r>
        <w:rPr>
          <w:lang w:val="pt-BR"/>
        </w:rPr>
        <w:t xml:space="preserve">Transparência seletiva.</w:t>
      </w:r>
    </w:p>
    <w:p>
      <w:pPr>
        <w:pStyle w:val="FirstParagraph"/>
      </w:pPr>
      <w:r>
        <w:rPr>
          <w:lang w:val="pt-BR"/>
        </w:rPr>
        <w:t xml:space="preserve">Cristóvam &amp; Hahn: ciclo único de transparência, dados, participação, regulação. Mas o regulador também é operador do sigilo (LAI art. 23).</w:t>
      </w:r>
    </w:p>
    <w:bookmarkEnd w:id="46"/>
    <w:bookmarkStart w:id="47" w:name="a-decisão-automatizada."/>
    <w:p>
      <w:pPr>
        <w:pStyle w:val="Heading3"/>
      </w:pPr>
      <w:r>
        <w:rPr>
          <w:lang w:val="pt-BR"/>
        </w:rPr>
        <w:t xml:space="preserve">A decisão automatizada.</w:t>
      </w:r>
    </w:p>
    <w:p>
      <w:pPr>
        <w:pStyle w:val="FirstParagraph"/>
      </w:pPr>
      <w:r>
        <w:rPr>
          <w:lang w:val="pt-BR"/>
        </w:rPr>
        <w:t xml:space="preserve">Nenhum dos dois artigos chega à decisão algorítmica concreta. O cidadão pode ver e ser protegido — mas a decisão que o afeta pode permanecer opaca.</w:t>
      </w:r>
    </w:p>
    <w:p>
      <w:pPr>
        <w:pStyle w:val="BodyText"/>
      </w:pPr>
      <w:r>
        <w:rPr>
          <w:lang w:val="pt-BR"/>
        </w:rPr>
        <w:t xml:space="preserve">A Parte II atravessa este ponto cego — saúde, big data e explicabilidade.</w:t>
      </w:r>
    </w:p>
    <w:bookmarkEnd w:id="47"/>
    <w:bookmarkEnd w:id="48"/>
    <w:bookmarkStart w:id="50" w:name="parte-ii-divisor"/>
    <w:p>
      <w:pPr>
        <w:pStyle w:val="Heading2"/>
      </w:pPr>
      <w:r>
        <w:rPr>
          <w:lang w:val="pt-BR"/>
        </w:rPr>
        <w:t xml:space="preserve">16 Parte II divisor</w:t>
      </w:r>
    </w:p>
    <w:bookmarkStart w:id="49" w:name="saúde-big-data-explicabilidade."/>
    <w:p>
      <w:pPr>
        <w:pStyle w:val="Heading3"/>
      </w:pPr>
      <w:r>
        <w:rPr>
          <w:lang w:val="pt-BR"/>
        </w:rPr>
        <w:t xml:space="preserve">Saúde, big data&amp; explicabilidade.</w:t>
      </w:r>
    </w:p>
    <w:bookmarkEnd w:id="49"/>
    <w:bookmarkEnd w:id="50"/>
    <w:bookmarkStart w:id="52" w:name="big-data-saúde"/>
    <w:p>
      <w:pPr>
        <w:pStyle w:val="Heading2"/>
      </w:pPr>
      <w:r>
        <w:rPr>
          <w:lang w:val="pt-BR"/>
        </w:rPr>
        <w:t xml:space="preserve">17 Big data saúde</w:t>
      </w:r>
    </w:p>
    <w:bookmarkStart w:id="51" w:name="Xea95abdeb53c57e4152e72e111feddff9f563b0"/>
    <w:p>
      <w:pPr>
        <w:pStyle w:val="Heading3"/>
      </w:pPr>
      <w:r>
        <w:rPr>
          <w:lang w:val="pt-BR"/>
        </w:rPr>
        <w:t xml:space="preserve">Big data na saúde — o lugar onde a proteção de dados encontra seu maior estresse.</w:t>
      </w:r>
    </w:p>
    <w:p>
      <w:pPr>
        <w:pStyle w:val="FirstParagraph"/>
      </w:pPr>
      <w:r>
        <w:rPr>
          <w:lang w:val="pt-BR"/>
        </w:rPr>
        <w:t xml:space="preserve">Dados sensíveis, populações inteiras, decisões clínicas e administrativas entrelaçadas: a saúde digital expõe os limites de uma LGPD desenhada num paradigma pré-big-data.</w:t>
      </w:r>
    </w:p>
    <w:p>
      <w:pPr>
        <w:pStyle w:val="BodyText"/>
      </w:pPr>
      <w:r>
        <w:rPr>
          <w:lang w:val="pt-BR"/>
        </w:rPr>
        <w:t xml:space="preserve">Cinco campos em que big data, IA e governança de saúde se sobrepõem: pesquisa clínica, prontuário eletrônico nacional, telemedicina, vigilância epidemiológica e financiamento. Em todos, o Estado é, simultaneamente, regulador e principal coletor.</w:t>
      </w:r>
    </w:p>
    <w:p>
      <w:pPr>
        <w:pStyle w:val="BodyText"/>
      </w:pPr>
      <w:r>
        <w:rPr>
          <w:lang w:val="pt-BR"/>
        </w:rPr>
        <w:t xml:space="preserve">Soberania de dados — não como nacionalismo digital, mas como capacidade institucional de manter governança sobre fluxos transfronteiriços.</w:t>
      </w:r>
    </w:p>
    <w:p>
      <w:pPr>
        <w:pStyle w:val="BodyText"/>
      </w:pPr>
      <w:r>
        <w:rPr>
          <w:lang w:val="pt-BR"/>
        </w:rPr>
        <w:t xml:space="preserve">Princípios clássicos da LGPD entram em tensão com a lógica do big data, que opera agregando, recombinando e inferindo.</w:t>
      </w:r>
    </w:p>
    <w:bookmarkEnd w:id="51"/>
    <w:bookmarkEnd w:id="52"/>
    <w:bookmarkStart w:id="54" w:name="cinco-campos"/>
    <w:p>
      <w:pPr>
        <w:pStyle w:val="Heading2"/>
      </w:pPr>
      <w:r>
        <w:rPr>
          <w:lang w:val="pt-BR"/>
        </w:rPr>
        <w:t xml:space="preserve">18 Cinco campos</w:t>
      </w:r>
    </w:p>
    <w:bookmarkStart w:id="53" w:name="cinco-campos-onde-a-lgpd-já-chega-tarde."/>
    <w:p>
      <w:pPr>
        <w:pStyle w:val="Heading3"/>
      </w:pPr>
      <w:r>
        <w:rPr>
          <w:lang w:val="pt-BR"/>
        </w:rPr>
        <w:t xml:space="preserve">Cinco campos onde a LGPD já chega tarde.</w:t>
      </w:r>
    </w:p>
    <w:p>
      <w:pPr>
        <w:pStyle w:val="FirstParagraph"/>
      </w:pPr>
      <w:r>
        <w:rPr>
          <w:lang w:val="pt-BR"/>
        </w:rPr>
        <w:t xml:space="preserve">i. Pesquisa clínica — consentimento granular versus reanálise futura de coortes.</w:t>
      </w:r>
    </w:p>
    <w:p>
      <w:pPr>
        <w:pStyle w:val="BodyText"/>
      </w:pPr>
      <w:r>
        <w:rPr>
          <w:lang w:val="pt-BR"/>
        </w:rPr>
        <w:t xml:space="preserve">ii. Prontuário eletrônico nacional — integração entre níveis de atenção; risco de inferência identificadora a partir de quase-identificadores.</w:t>
      </w:r>
    </w:p>
    <w:p>
      <w:pPr>
        <w:pStyle w:val="BodyText"/>
      </w:pPr>
      <w:r>
        <w:rPr>
          <w:lang w:val="pt-BR"/>
        </w:rPr>
        <w:t xml:space="preserve">iii. Telemedicina — captação de dados biométricos contínuos; assimetria entre paciente, plataforma e operadora.</w:t>
      </w:r>
    </w:p>
    <w:p>
      <w:pPr>
        <w:pStyle w:val="BodyText"/>
      </w:pPr>
      <w:r>
        <w:rPr>
          <w:lang w:val="pt-BR"/>
        </w:rPr>
        <w:t xml:space="preserve">iv. Vigilância epidemiológica — uso emergencial vira regime permanente (lição da pandemia).</w:t>
      </w:r>
    </w:p>
    <w:p>
      <w:pPr>
        <w:pStyle w:val="BodyText"/>
      </w:pPr>
      <w:r>
        <w:rPr>
          <w:lang w:val="pt-BR"/>
        </w:rPr>
        <w:t xml:space="preserve">v. Financiamento e regulação — bases administrativas (SUS, SIH, SIA) alimentando modelos preditivos pelo próprio gestor.</w:t>
      </w:r>
    </w:p>
    <w:p>
      <w:pPr>
        <w:pStyle w:val="BodyText"/>
      </w:pPr>
      <w:r>
        <w:rPr>
          <w:lang w:val="pt-BR"/>
        </w:rPr>
        <w:t xml:space="preserve">Em todos, finalidade, minimização e anonimização ficam frágeis justamente quando o Estado é o grande coletor.</w:t>
      </w:r>
    </w:p>
    <w:bookmarkEnd w:id="53"/>
    <w:bookmarkEnd w:id="54"/>
    <w:bookmarkStart w:id="56" w:name="soberania-by-design"/>
    <w:p>
      <w:pPr>
        <w:pStyle w:val="Heading2"/>
      </w:pPr>
      <w:r>
        <w:rPr>
          <w:lang w:val="pt-BR"/>
        </w:rPr>
        <w:t xml:space="preserve">19 Soberania by design</w:t>
      </w:r>
    </w:p>
    <w:bookmarkStart w:id="55" w:name="Xe617bb5324480efe9eed503440684f83e707ca0"/>
    <w:p>
      <w:pPr>
        <w:pStyle w:val="Heading3"/>
      </w:pPr>
      <w:r>
        <w:rPr>
          <w:lang w:val="pt-BR"/>
        </w:rPr>
        <w:t xml:space="preserve">Soberania de dados e privacy by design — o que a tradição europeia oferece.</w:t>
      </w:r>
    </w:p>
    <w:p>
      <w:pPr>
        <w:pStyle w:val="FirstParagraph"/>
      </w:pPr>
      <w:r>
        <w:rPr>
          <w:lang w:val="pt-BR"/>
        </w:rPr>
        <w:t xml:space="preserve">Sarlet e Molinaro mobilizam o conceito alemão-europeu de soberania informacional não no registro geopolítico, mas no registro institucional: capacidade do Estado de manter governança e arbitragem sobre fluxos de dados que, por natureza, são transfronteiriços.</w:t>
      </w:r>
    </w:p>
    <w:p>
      <w:pPr>
        <w:pStyle w:val="BodyText"/>
      </w:pPr>
      <w:r>
        <w:rPr>
          <w:lang w:val="pt-BR"/>
        </w:rPr>
        <w:t xml:space="preserve">A categoria importa porque o big data em saúde envolve, quase sempre, processadores estrangeiros, infraestruturas em nuvem e modelos treinados em outros contextos. A pergunta não é se devemos abrir mão — é como manter autoridade decisória.</w:t>
      </w:r>
    </w:p>
    <w:p>
      <w:pPr>
        <w:pStyle w:val="BodyText"/>
      </w:pPr>
      <w:r>
        <w:rPr>
          <w:lang w:val="pt-BR"/>
        </w:rPr>
        <w:t xml:space="preserve">No plano técnico, privacy by design (Cavoukian) — princípios incorporados na arquitetura do sistema, e não acoplados a posteriori — aparece como condição mínima. Para os autores, é ele, não a anonimização posterior, que faz a LGPD funcionar em ambiente big data.</w:t>
      </w:r>
    </w:p>
    <w:p>
      <w:pPr>
        <w:pStyle w:val="BodyText"/>
      </w:pPr>
      <w:r>
        <w:rPr>
          <w:lang w:val="pt-BR"/>
        </w:rPr>
        <w:t xml:space="preserve">— Cavoukian, 2009</w:t>
      </w:r>
    </w:p>
    <w:bookmarkEnd w:id="55"/>
    <w:bookmarkEnd w:id="56"/>
    <w:bookmarkStart w:id="58" w:name="nossa-leitura-iii"/>
    <w:p>
      <w:pPr>
        <w:pStyle w:val="Heading2"/>
      </w:pPr>
      <w:r>
        <w:rPr>
          <w:lang w:val="pt-BR"/>
        </w:rPr>
        <w:t xml:space="preserve">20 ★ Nossa leitura III</w:t>
      </w:r>
    </w:p>
    <w:bookmarkStart w:id="57" w:name="X1ff2082a89e8ea75b8839ba3663219b2bba425a"/>
    <w:p>
      <w:pPr>
        <w:pStyle w:val="Heading3"/>
      </w:pPr>
      <w:r>
        <w:rPr>
          <w:lang w:val="pt-BR"/>
        </w:rPr>
        <w:t xml:space="preserve">Quando o coletor é o regulador — a minimização vira letra morta.</w:t>
      </w:r>
    </w:p>
    <w:p>
      <w:pPr>
        <w:pStyle w:val="FirstParagraph"/>
      </w:pPr>
      <w:r>
        <w:rPr>
          <w:lang w:val="pt-BR"/>
        </w:rPr>
        <w:t xml:space="preserve">Sarlet e Molinaro mostram que a LGPD foi concebida em um paradigma pré-big-data. Finalidade, minimização e anonimização ficam frágeis quando o Estado é o grande coletor. O seminário põe essa tensão em diálogo com bases públicas de saúde, assistência, educação e serviços digitais, sem tomar seu volume como prova de uso preditivo.</w:t>
      </w:r>
    </w:p>
    <w:p>
      <w:pPr>
        <w:pStyle w:val="BodyText"/>
      </w:pPr>
      <w:r>
        <w:rPr>
          <w:lang w:val="pt-BR"/>
        </w:rPr>
        <w:t xml:space="preserve">A concentração de bases públicas suscita riscos de acesso indevido e exige fiscalização. Alegações de vazamento precisam identificar base, responsável e fonte verificável; não as usamos aqui como fato comprovado sobre o Gov.br. Nossa pergunta permanece: quem controla o controlador?</w:t>
      </w:r>
    </w:p>
    <w:p>
      <w:pPr>
        <w:pStyle w:val="BodyText"/>
      </w:pPr>
      <w:r>
        <w:rPr>
          <w:lang w:val="pt-BR"/>
        </w:rPr>
        <w:t xml:space="preserve">leitura autoral · cenário de risco — o controlador e o regulador coincidem.</w:t>
      </w:r>
    </w:p>
    <w:bookmarkEnd w:id="57"/>
    <w:bookmarkEnd w:id="58"/>
    <w:bookmarkStart w:id="60" w:name="algoritmo-ia"/>
    <w:p>
      <w:pPr>
        <w:pStyle w:val="Heading2"/>
      </w:pPr>
      <w:r>
        <w:rPr>
          <w:lang w:val="pt-BR"/>
        </w:rPr>
        <w:t xml:space="preserve">21 Algoritmo × IA</w:t>
      </w:r>
    </w:p>
    <w:bookmarkStart w:id="59" w:name="Xa232b0f2635ae9998883727b3082f0fb23cd0ba"/>
    <w:p>
      <w:pPr>
        <w:pStyle w:val="Heading3"/>
      </w:pPr>
      <w:r>
        <w:rPr>
          <w:lang w:val="pt-BR"/>
        </w:rPr>
        <w:t xml:space="preserve">Algoritmo simples, modelo preditivo, IA generativa: três coisas distintas.</w:t>
      </w:r>
    </w:p>
    <w:p>
      <w:pPr>
        <w:pStyle w:val="FirstParagraph"/>
      </w:pPr>
      <w:r>
        <w:rPr>
          <w:lang w:val="pt-BR"/>
        </w:rPr>
        <w:t xml:space="preserve">Sob o mesmo guarda-chuva — "decisão por algoritmo" — convivem ferramentas técnica e juridicamente distintas. A precisão dessa distinção é o que torna a discussão sobre explicabilidade possível.</w:t>
      </w:r>
    </w:p>
    <w:p>
      <w:pPr>
        <w:pStyle w:val="BodyText"/>
      </w:pPr>
      <w:r>
        <w:rPr>
          <w:lang w:val="pt-BR"/>
        </w:rPr>
        <w:t xml:space="preserve">O algoritmo simples é determinístico — uma regra explícita, auditável linha a linha. Decisões tomadas por ele são, em princípio, plenamente reconstituíveis. A explicabilidade é, no limite, o próprio código.</w:t>
      </w:r>
    </w:p>
    <w:p>
      <w:pPr>
        <w:pStyle w:val="BodyText"/>
      </w:pPr>
      <w:r>
        <w:rPr>
          <w:lang w:val="pt-BR"/>
        </w:rPr>
        <w:t xml:space="preserve">O modelo preditivo estatístico (regressões, árvores, gradient boosting) já opera em terreno probabilístico. Há explicabilidade — mas em importância de variáveis, em graus de contribuição, e não em "porquê" no sentido jurídico.</w:t>
      </w:r>
    </w:p>
    <w:p>
      <w:pPr>
        <w:pStyle w:val="BodyText"/>
      </w:pPr>
      <w:r>
        <w:rPr>
          <w:lang w:val="pt-BR"/>
        </w:rPr>
        <w:t xml:space="preserve">A IA contemporânea — redes neurais profundas, modelos de linguagem — apresenta um gap explicativo estrutural: o sistema responde, mas a justificativa não é endogenamente recuperável. Tratar uma rede neural como planilha é o que cria a opacidade administrativa.</w:t>
      </w:r>
    </w:p>
    <w:bookmarkEnd w:id="59"/>
    <w:bookmarkEnd w:id="60"/>
    <w:bookmarkStart w:id="62" w:name="três-tipologias"/>
    <w:p>
      <w:pPr>
        <w:pStyle w:val="Heading2"/>
      </w:pPr>
      <w:r>
        <w:rPr>
          <w:lang w:val="pt-BR"/>
        </w:rPr>
        <w:t xml:space="preserve">22 Três tipologias</w:t>
      </w:r>
    </w:p>
    <w:bookmarkStart w:id="61" w:name="três-modos-humana-híbrida-algorítmica."/>
    <w:p>
      <w:pPr>
        <w:pStyle w:val="Heading3"/>
      </w:pPr>
      <w:r>
        <w:rPr>
          <w:lang w:val="pt-BR"/>
        </w:rPr>
        <w:t xml:space="preserve">Três modos: humana, híbrida, algorítmica.</w:t>
      </w:r>
    </w:p>
    <w:p>
      <w:pPr>
        <w:pStyle w:val="FirstParagraph"/>
      </w:pPr>
      <w:r>
        <w:rPr>
          <w:lang w:val="pt-BR"/>
        </w:rPr>
        <w:t xml:space="preserve">Humana. O agente público analisa, decide e fundamenta. Pode usar ferramentas, mas a decisão é dele — e o ônus argumentativo permanece humano.</w:t>
      </w:r>
    </w:p>
    <w:p>
      <w:pPr>
        <w:pStyle w:val="BodyText"/>
      </w:pPr>
      <w:r>
        <w:rPr>
          <w:lang w:val="pt-BR"/>
        </w:rPr>
        <w:t xml:space="preserve">Híbrida. O sistema sugere, classifica, prioriza; o agente decide. Aqui mora o risco da "humanização decorativa" — a decisão real é da máquina, o carimbo é humano.</w:t>
      </w:r>
    </w:p>
    <w:p>
      <w:pPr>
        <w:pStyle w:val="BodyText"/>
      </w:pPr>
      <w:r>
        <w:rPr>
          <w:lang w:val="pt-BR"/>
        </w:rPr>
        <w:t xml:space="preserve">Algorítmica pura. A decisão é tomada e comunicada sem interveniente humano. A tipologia é uma leitura doutrinária. A LGPD garante pedido de revisão (art. 20); o art. 19 da Lei do Governo Digital trata da Base Nacional de Serviços Públicos.</w:t>
      </w:r>
    </w:p>
    <w:p>
      <w:pPr>
        <w:pStyle w:val="BodyText"/>
      </w:pPr>
      <w:r>
        <w:rPr>
          <w:lang w:val="pt-BR"/>
        </w:rPr>
        <w:t xml:space="preserve">Para Tavares e coautores, cada tipologia exige arquitetura própria de explicabilidade e contraditório. A diferença é constitucional, não cosmética.</w:t>
      </w:r>
    </w:p>
    <w:bookmarkEnd w:id="61"/>
    <w:bookmarkEnd w:id="62"/>
    <w:bookmarkStart w:id="67" w:name="explicabilidade-3-tempos"/>
    <w:p>
      <w:pPr>
        <w:pStyle w:val="Heading2"/>
      </w:pPr>
      <w:r>
        <w:rPr>
          <w:lang w:val="pt-BR"/>
        </w:rPr>
        <w:t xml:space="preserve">23 Explicabilidade 3 tempos</w:t>
      </w:r>
    </w:p>
    <w:bookmarkStart w:id="63" w:name="a-explicabilidade-tem-três-tempos."/>
    <w:p>
      <w:pPr>
        <w:pStyle w:val="Heading3"/>
      </w:pPr>
      <w:r>
        <w:rPr>
          <w:lang w:val="pt-BR"/>
        </w:rPr>
        <w:t xml:space="preserve">A explicabilidade tem três tempos.</w:t>
      </w:r>
    </w:p>
    <w:bookmarkEnd w:id="63"/>
    <w:bookmarkStart w:id="64" w:name="antes-da-decisão."/>
    <w:p>
      <w:pPr>
        <w:pStyle w:val="Heading3"/>
      </w:pPr>
      <w:r>
        <w:rPr>
          <w:lang w:val="pt-BR"/>
        </w:rPr>
        <w:t xml:space="preserve">Antes da decisão.</w:t>
      </w:r>
    </w:p>
    <w:p>
      <w:pPr>
        <w:pStyle w:val="FirstParagraph"/>
      </w:pPr>
      <w:r>
        <w:rPr>
          <w:lang w:val="pt-BR"/>
        </w:rPr>
        <w:t xml:space="preserve">Avaliação de impacto algorítmico, transparência ativa sobre critérios, prazos, parâmetros. Não é «publicação do código»; é compreensibilidade pública dos pressupostos.</w:t>
      </w:r>
    </w:p>
    <w:bookmarkEnd w:id="64"/>
    <w:bookmarkStart w:id="65" w:name="durante-a-decisão."/>
    <w:p>
      <w:pPr>
        <w:pStyle w:val="Heading3"/>
      </w:pPr>
      <w:r>
        <w:rPr>
          <w:lang w:val="pt-BR"/>
        </w:rPr>
        <w:t xml:space="preserve">Durante a decisão.</w:t>
      </w:r>
    </w:p>
    <w:p>
      <w:pPr>
        <w:pStyle w:val="FirstParagraph"/>
      </w:pPr>
      <w:r>
        <w:rPr>
          <w:lang w:val="pt-BR"/>
        </w:rPr>
        <w:t xml:space="preserve">Logging, trilhas de auditoria, identificação dos dados efetivamente usados e do modelo em execução. Esta é a camada que possibilita o contraditório posterior.</w:t>
      </w:r>
    </w:p>
    <w:bookmarkEnd w:id="65"/>
    <w:bookmarkStart w:id="66" w:name="depois-da-decisão."/>
    <w:p>
      <w:pPr>
        <w:pStyle w:val="Heading3"/>
      </w:pPr>
      <w:r>
        <w:rPr>
          <w:lang w:val="pt-BR"/>
        </w:rPr>
        <w:t xml:space="preserve">Depois da decisão.</w:t>
      </w:r>
    </w:p>
    <w:p>
      <w:pPr>
        <w:pStyle w:val="FirstParagraph"/>
      </w:pPr>
      <w:r>
        <w:rPr>
          <w:lang w:val="pt-BR"/>
        </w:rPr>
        <w:t xml:space="preserve">Motivação ao destinatário em linguagem inteligível, indicação dos dados, base legal, modelo usado e canal direto de contestação. Aqui a explicabilidade vira devido processo.</w:t>
      </w:r>
    </w:p>
    <w:bookmarkEnd w:id="66"/>
    <w:bookmarkEnd w:id="67"/>
    <w:bookmarkStart w:id="69" w:name="contraditório-algorítmico"/>
    <w:p>
      <w:pPr>
        <w:pStyle w:val="Heading2"/>
      </w:pPr>
      <w:r>
        <w:rPr>
          <w:lang w:val="pt-BR"/>
        </w:rPr>
        <w:t xml:space="preserve">24 Contraditório algorítmico</w:t>
      </w:r>
    </w:p>
    <w:bookmarkStart w:id="68" w:name="X86eb6e321c9eb793141df36767892ab4aa15031"/>
    <w:p>
      <w:pPr>
        <w:pStyle w:val="Heading3"/>
      </w:pPr>
      <w:r>
        <w:rPr>
          <w:lang w:val="pt-BR"/>
        </w:rPr>
        <w:t xml:space="preserve">O contraditório tem que ser prévio — recurso depois não sana a nulidade.</w:t>
      </w:r>
    </w:p>
    <w:p>
      <w:pPr>
        <w:pStyle w:val="FirstParagraph"/>
      </w:pPr>
      <w:r>
        <w:rPr>
          <w:lang w:val="pt-BR"/>
        </w:rPr>
        <w:t xml:space="preserve">A leitura constitucional do art. 5º, LV, é direta: o devido processo administrativo exige contraditório prévio. Adiar para o recurso é, na prática, suprimir o instituto — porque a decisão já produziu efeitos sobre o destinatário.</w:t>
      </w:r>
    </w:p>
    <w:p>
      <w:pPr>
        <w:pStyle w:val="BodyText"/>
      </w:pPr>
      <w:r>
        <w:rPr>
          <w:lang w:val="pt-BR"/>
        </w:rPr>
        <w:t xml:space="preserve">Tavares e coautores fazem a translação para a decisão automatizada: direito à explicação antes, direito a manifestar-se antes, direito à revisão por agente competente. Sem os três, não há contraditório — há comunicação de resultado.</w:t>
      </w:r>
    </w:p>
    <w:p>
      <w:pPr>
        <w:pStyle w:val="BodyText"/>
      </w:pPr>
      <w:r>
        <w:rPr>
          <w:lang w:val="pt-BR"/>
        </w:rPr>
        <w:t xml:space="preserve">Essa releitura é o que vira software no nosso protótipo. O Conselho de Contestação Algorítmica é uma materialização desse esquema: explicar, abrir, deliberar, recorrer.</w:t>
      </w:r>
    </w:p>
    <w:p>
      <w:pPr>
        <w:pStyle w:val="BodyText"/>
      </w:pPr>
      <w:r>
        <w:rPr>
          <w:lang w:val="pt-BR"/>
        </w:rPr>
        <w:t xml:space="preserve">Aqui é onde o Estado-regulador mais descumpre o Estado-norma. A próxima parte do seminário mostra como.</w:t>
      </w:r>
    </w:p>
    <w:bookmarkEnd w:id="68"/>
    <w:bookmarkEnd w:id="69"/>
    <w:bookmarkStart w:id="73" w:name="tese-desenvolvida"/>
    <w:p>
      <w:pPr>
        <w:pStyle w:val="Heading2"/>
      </w:pPr>
      <w:r>
        <w:rPr>
          <w:lang w:val="pt-BR"/>
        </w:rPr>
        <w:t xml:space="preserve">25 ★ Tese desenvolvida</w:t>
      </w:r>
    </w:p>
    <w:bookmarkStart w:id="70" w:name="X0febd50d838bb3fc01ab922593a482249dcb463"/>
    <w:p>
      <w:pPr>
        <w:pStyle w:val="Heading3"/>
      </w:pPr>
      <w:r>
        <w:rPr>
          <w:lang w:val="pt-BR"/>
        </w:rPr>
        <w:t xml:space="preserve">O regulador é o maior infrator. Quem edita a regra é o que mais a descumpre contra o cidadão.</w:t>
      </w:r>
    </w:p>
    <w:bookmarkEnd w:id="70"/>
    <w:bookmarkStart w:id="71" w:name="quem-edita-a-regra."/>
    <w:p>
      <w:pPr>
        <w:pStyle w:val="Heading3"/>
      </w:pPr>
      <w:r>
        <w:rPr>
          <w:lang w:val="pt-BR"/>
        </w:rPr>
        <w:t xml:space="preserve">Quem edita a regra.</w:t>
      </w:r>
    </w:p>
    <w:p>
      <w:pPr>
        <w:pStyle w:val="FirstParagraph"/>
      </w:pPr>
      <w:r>
        <w:rPr>
          <w:lang w:val="pt-BR"/>
        </w:rPr>
        <w:t xml:space="preserve">LAI · transparência</w:t>
      </w:r>
    </w:p>
    <w:p>
      <w:pPr>
        <w:pStyle w:val="BodyText"/>
      </w:pPr>
      <w:r>
        <w:rPr>
          <w:lang w:val="pt-BR"/>
        </w:rPr>
        <w:t xml:space="preserve">LGPD · proteção</w:t>
      </w:r>
    </w:p>
    <w:p>
      <w:pPr>
        <w:pStyle w:val="BodyText"/>
      </w:pPr>
      <w:r>
        <w:rPr>
          <w:lang w:val="pt-BR"/>
        </w:rPr>
        <w:t xml:space="preserve">L. 14.129/21 · gov. digital</w:t>
      </w:r>
    </w:p>
    <w:p>
      <w:pPr>
        <w:pStyle w:val="BodyText"/>
      </w:pPr>
      <w:r>
        <w:rPr>
          <w:lang w:val="pt-BR"/>
        </w:rPr>
        <w:t xml:space="preserve">CF art. 5º LV · contraditório</w:t>
      </w:r>
    </w:p>
    <w:p>
      <w:pPr>
        <w:pStyle w:val="BodyText"/>
      </w:pPr>
      <w:r>
        <w:rPr>
          <w:lang w:val="pt-BR"/>
        </w:rPr>
        <w:t xml:space="preserve">IN 128/22 INSS · motivação</w:t>
      </w:r>
    </w:p>
    <w:p>
      <w:pPr>
        <w:pStyle w:val="BodyText"/>
      </w:pPr>
      <w:r>
        <w:rPr>
          <w:lang w:val="pt-BR"/>
        </w:rPr>
        <w:t xml:space="preserve">CNJ Res. 615/25 · IA judicial</w:t>
      </w:r>
    </w:p>
    <w:bookmarkEnd w:id="71"/>
    <w:bookmarkStart w:id="72" w:name="quem-descumpre."/>
    <w:p>
      <w:pPr>
        <w:pStyle w:val="Heading3"/>
      </w:pPr>
      <w:r>
        <w:rPr>
          <w:lang w:val="pt-BR"/>
        </w:rPr>
        <w:t xml:space="preserve">Quem descumpre.</w:t>
      </w:r>
    </w:p>
    <w:p>
      <w:pPr>
        <w:pStyle w:val="FirstParagraph"/>
      </w:pPr>
      <w:r>
        <w:rPr>
          <w:lang w:val="pt-BR"/>
        </w:rPr>
        <w:t xml:space="preserve">LAI art. 23 · sigilo seletivo</w:t>
      </w:r>
    </w:p>
    <w:p>
      <w:pPr>
        <w:pStyle w:val="BodyText"/>
      </w:pPr>
      <w:r>
        <w:rPr>
          <w:lang w:val="pt-BR"/>
        </w:rPr>
        <w:t xml:space="preserve">Gov.br · risco de exposição</w:t>
      </w:r>
    </w:p>
    <w:p>
      <w:pPr>
        <w:pStyle w:val="BodyText"/>
      </w:pPr>
      <w:r>
        <w:rPr>
          <w:lang w:val="pt-BR"/>
        </w:rPr>
        <w:t xml:space="preserve">MP 954 · STF a conteve</w:t>
      </w:r>
    </w:p>
    <w:p>
      <w:pPr>
        <w:pStyle w:val="BodyText"/>
      </w:pPr>
      <w:r>
        <w:rPr>
          <w:lang w:val="pt-BR"/>
        </w:rPr>
        <w:t xml:space="preserve">INSS · sem contraditório</w:t>
      </w:r>
    </w:p>
    <w:p>
      <w:pPr>
        <w:pStyle w:val="BodyText"/>
      </w:pPr>
      <w:r>
        <w:rPr>
          <w:lang w:val="pt-BR"/>
        </w:rPr>
        <w:t xml:space="preserve">INSS · viola própria IN</w:t>
      </w:r>
    </w:p>
    <w:p>
      <w:pPr>
        <w:pStyle w:val="BodyText"/>
      </w:pPr>
      <w:r>
        <w:rPr>
          <w:lang w:val="pt-BR"/>
        </w:rPr>
        <w:t xml:space="preserve">TJ-MA · 80 → 969 sentenças por IA</w:t>
      </w:r>
    </w:p>
    <w:bookmarkEnd w:id="72"/>
    <w:bookmarkEnd w:id="73"/>
    <w:bookmarkStart w:id="76" w:name="cenário-didático-inss"/>
    <w:p>
      <w:pPr>
        <w:pStyle w:val="Heading2"/>
      </w:pPr>
      <w:r>
        <w:rPr>
          <w:lang w:val="pt-BR"/>
        </w:rPr>
        <w:t xml:space="preserve">26 Cenário didático INSS</w:t>
      </w:r>
    </w:p>
    <w:bookmarkStart w:id="74" w:name="X86a29d87b1f2c3eb0214e764b7c65326b09f38a"/>
    <w:p>
      <w:pPr>
        <w:pStyle w:val="Heading3"/>
      </w:pPr>
      <w:r>
        <w:rPr>
          <w:lang w:val="pt-BR"/>
        </w:rPr>
        <w:t xml:space="preserve">A trabalhadora rural recebe isto, no celular.</w:t>
      </w:r>
    </w:p>
    <w:p>
      <w:pPr>
        <w:pStyle w:val="FirstParagraph"/>
      </w:pPr>
      <w:r>
        <w:rPr>
          <w:lang w:val="pt-BR"/>
        </w:rPr>
        <w:t xml:space="preserve">Uma mulher de 62 anos, aposentadoria por idade rural negada por inferência entre CadÚnico, RAIS e CNIS. O sistema decide. O aplicativo comunica. Não há motivação, não há contraditório, não há rosto.</w:t>
      </w:r>
    </w:p>
    <w:p>
      <w:pPr>
        <w:pStyle w:val="BodyText"/>
      </w:pPr>
      <w:r>
        <w:rPr>
          <w:lang w:val="pt-BR"/>
        </w:rPr>
        <w:t xml:space="preserve">O regulador-do-recurso é quem suprime o recurso.</w:t>
      </w:r>
    </w:p>
    <w:bookmarkEnd w:id="74"/>
    <w:bookmarkStart w:id="75" w:name="aposentadoria-por-idade-rural"/>
    <w:p>
      <w:pPr>
        <w:pStyle w:val="Heading3"/>
      </w:pPr>
      <w:r>
        <w:rPr>
          <w:lang w:val="pt-BR"/>
        </w:rPr>
        <w:t xml:space="preserve">Aposentadoria por idade rural</w:t>
      </w:r>
    </w:p>
    <w:p>
      <w:pPr>
        <w:pStyle w:val="FirstParagraph"/>
      </w:pPr>
      <w:r>
        <w:rPr>
          <w:lang w:val="pt-BR"/>
        </w:rPr>
        <w:t xml:space="preserve">Inconsistência cadastral e risco elevado de inelegibilidade detectado em modelo automatizado.</w:t>
      </w:r>
    </w:p>
    <w:bookmarkEnd w:id="75"/>
    <w:bookmarkEnd w:id="76"/>
    <w:bookmarkStart w:id="78" w:name="black-box-inss"/>
    <w:p>
      <w:pPr>
        <w:pStyle w:val="Heading2"/>
      </w:pPr>
      <w:r>
        <w:rPr>
          <w:lang w:val="pt-BR"/>
        </w:rPr>
        <w:t xml:space="preserve">27 Black box INSS</w:t>
      </w:r>
    </w:p>
    <w:bookmarkStart w:id="77" w:name="Xc2dedfe7c1ceb64ca90f10db0933701b483279e"/>
    <w:p>
      <w:pPr>
        <w:pStyle w:val="Heading3"/>
      </w:pPr>
      <w:r>
        <w:rPr>
          <w:lang w:val="pt-BR"/>
        </w:rPr>
        <w:t xml:space="preserve">Os dados entram. A decisão sai. Tudo no meio está oculto.</w:t>
      </w:r>
    </w:p>
    <w:p>
      <w:pPr>
        <w:pStyle w:val="FirstParagraph"/>
      </w:pPr>
      <w:r>
        <w:rPr>
          <w:lang w:val="pt-BR"/>
        </w:rPr>
        <w:t xml:space="preserve">Cada caixa pontilhada é um hook que o devido processo administrativo prevê — e que o INSS não cumpre. Sete nulidades em um único ato.</w:t>
      </w:r>
    </w:p>
    <w:bookmarkEnd w:id="77"/>
    <w:bookmarkEnd w:id="78"/>
    <w:bookmarkStart w:id="82" w:name="syri-inss-espelho"/>
    <w:p>
      <w:pPr>
        <w:pStyle w:val="Heading2"/>
      </w:pPr>
      <w:r>
        <w:rPr>
          <w:lang w:val="pt-BR"/>
        </w:rPr>
        <w:t xml:space="preserve">28 SyRI × INSS espelho</w:t>
      </w:r>
    </w:p>
    <w:bookmarkStart w:id="79" w:name="Xc5a9ad3890af01955bc135b79255246b6d05ab7"/>
    <w:p>
      <w:pPr>
        <w:pStyle w:val="Heading3"/>
      </w:pPr>
      <w:r>
        <w:rPr>
          <w:lang w:val="pt-BR"/>
        </w:rPr>
        <w:t xml:space="preserve">Holanda já conteve. Brasil ainda está no estágio da denúncia.</w:t>
      </w:r>
    </w:p>
    <w:bookmarkEnd w:id="79"/>
    <w:bookmarkStart w:id="80" w:name="syri-systeem-risico-indicatie"/>
    <w:p>
      <w:pPr>
        <w:pStyle w:val="Heading3"/>
      </w:pPr>
      <w:r>
        <w:rPr>
          <w:lang w:val="pt-BR"/>
        </w:rPr>
        <w:t xml:space="preserve">SyRI — Systeem Risico Indicatie</w:t>
      </w:r>
    </w:p>
    <w:p>
      <w:pPr>
        <w:pStyle w:val="FirstParagraph"/>
      </w:pPr>
      <w:r>
        <w:rPr>
          <w:lang w:val="pt-BR"/>
        </w:rPr>
        <w:t xml:space="preserve">Direcionamento territorial e racial</w:t>
      </w:r>
    </w:p>
    <w:p>
      <w:pPr>
        <w:pStyle w:val="BodyText"/>
      </w:pPr>
      <w:r>
        <w:rPr>
          <w:lang w:val="pt-BR"/>
        </w:rPr>
        <w:t xml:space="preserve">Cruzamento de bases sem finalidade clara</w:t>
      </w:r>
    </w:p>
    <w:p>
      <w:pPr>
        <w:pStyle w:val="BodyText"/>
      </w:pPr>
      <w:r>
        <w:rPr>
          <w:lang w:val="pt-BR"/>
        </w:rPr>
        <w:t xml:space="preserve">Opacidade sobre critérios e pesos</w:t>
      </w:r>
    </w:p>
    <w:p>
      <w:pPr>
        <w:pStyle w:val="BodyText"/>
      </w:pPr>
      <w:r>
        <w:rPr>
          <w:lang w:val="pt-BR"/>
        </w:rPr>
        <w:t xml:space="preserve">Tribunal de Haia · proibido por violar privacidade, finalidade, minimização e devido processo</w:t>
      </w:r>
    </w:p>
    <w:bookmarkEnd w:id="80"/>
    <w:bookmarkStart w:id="81" w:name="inss-aposentadoria-rural"/>
    <w:p>
      <w:pPr>
        <w:pStyle w:val="Heading3"/>
      </w:pPr>
      <w:r>
        <w:rPr>
          <w:lang w:val="pt-BR"/>
        </w:rPr>
        <w:t xml:space="preserve">INSS · aposentadoria rural</w:t>
      </w:r>
    </w:p>
    <w:p>
      <w:pPr>
        <w:pStyle w:val="FirstParagraph"/>
      </w:pPr>
      <w:r>
        <w:rPr>
          <w:lang w:val="pt-BR"/>
        </w:rPr>
        <w:t xml:space="preserve">Direcionamento por inferência cadastral</w:t>
      </w:r>
    </w:p>
    <w:p>
      <w:pPr>
        <w:pStyle w:val="BodyText"/>
      </w:pPr>
      <w:r>
        <w:rPr>
          <w:lang w:val="pt-BR"/>
        </w:rPr>
        <w:t xml:space="preserve">Cruzamento opaco entre CadÚnico, RAIS, CNIS</w:t>
      </w:r>
    </w:p>
    <w:p>
      <w:pPr>
        <w:pStyle w:val="BodyText"/>
      </w:pPr>
      <w:r>
        <w:rPr>
          <w:lang w:val="pt-BR"/>
        </w:rPr>
        <w:t xml:space="preserve">Sem motivação personalizada</w:t>
      </w:r>
    </w:p>
    <w:p>
      <w:pPr>
        <w:pStyle w:val="BodyText"/>
      </w:pPr>
      <w:r>
        <w:rPr>
          <w:lang w:val="pt-BR"/>
        </w:rPr>
        <w:t xml:space="preserve">Sem decisão judicial estruturante — ainda no estágio de denúncia</w:t>
      </w:r>
    </w:p>
    <w:bookmarkEnd w:id="81"/>
    <w:bookmarkEnd w:id="82"/>
    <w:bookmarkStart w:id="84" w:name="tabela-estado-contra-si"/>
    <w:p>
      <w:pPr>
        <w:pStyle w:val="Heading2"/>
      </w:pPr>
      <w:r>
        <w:rPr>
          <w:lang w:val="pt-BR"/>
        </w:rPr>
        <w:t xml:space="preserve">29 Tabela Estado contra si</w:t>
      </w:r>
    </w:p>
    <w:bookmarkStart w:id="83" w:name="Xb6e19850fe37def76054c1e826170dd645911ae"/>
    <w:p>
      <w:pPr>
        <w:pStyle w:val="Heading3"/>
      </w:pPr>
      <w:r>
        <w:rPr>
          <w:lang w:val="pt-BR"/>
        </w:rPr>
        <w:t xml:space="preserve">Episódios e cenários: o Estado diante das próprias regras.</w:t>
      </w:r>
    </w:p>
    <w:p>
      <w:pPr>
        <w:pStyle w:val="FirstParagraph"/>
      </w:pPr>
      <w:r>
        <w:rPr>
          <w:lang w:val="pt-BR"/>
        </w:rPr>
        <w:t xml:space="preserve">MP 954</w:t>
      </w:r>
    </w:p>
    <w:p>
      <w:pPr>
        <w:pStyle w:val="BodyText"/>
      </w:pPr>
      <w:r>
        <w:rPr>
          <w:lang w:val="pt-BR"/>
        </w:rPr>
        <w:t xml:space="preserve">telecom &gt; IBGE · LGPD em vacatio · finalidade</w:t>
      </w:r>
    </w:p>
    <w:p>
      <w:pPr>
        <w:pStyle w:val="BodyText"/>
      </w:pPr>
      <w:r>
        <w:rPr>
          <w:lang w:val="pt-BR"/>
        </w:rPr>
        <w:t xml:space="preserve">STF · ADI 6.387</w:t>
      </w:r>
    </w:p>
    <w:p>
      <w:pPr>
        <w:pStyle w:val="BodyText"/>
      </w:pPr>
      <w:r>
        <w:rPr>
          <w:lang w:val="pt-BR"/>
        </w:rPr>
        <w:t xml:space="preserve">SyRI · Haia</w:t>
      </w:r>
    </w:p>
    <w:p>
      <w:pPr>
        <w:pStyle w:val="BodyText"/>
      </w:pPr>
      <w:r>
        <w:rPr>
          <w:lang w:val="pt-BR"/>
        </w:rPr>
        <w:t xml:space="preserve">espelho internacional · CEDH art. 8</w:t>
      </w:r>
    </w:p>
    <w:p>
      <w:pPr>
        <w:pStyle w:val="BodyText"/>
      </w:pPr>
      <w:r>
        <w:rPr>
          <w:lang w:val="pt-BR"/>
        </w:rPr>
        <w:t xml:space="preserve">SUSPENSO · trib. Haia</w:t>
      </w:r>
    </w:p>
    <w:p>
      <w:pPr>
        <w:pStyle w:val="BodyText"/>
      </w:pPr>
      <w:r>
        <w:rPr>
          <w:lang w:val="pt-BR"/>
        </w:rPr>
        <w:t xml:space="preserve">Bases públicas · segurança</w:t>
      </w:r>
    </w:p>
    <w:p>
      <w:pPr>
        <w:pStyle w:val="BodyText"/>
      </w:pPr>
      <w:r>
        <w:rPr>
          <w:lang w:val="pt-BR"/>
        </w:rPr>
        <w:t xml:space="preserve">risco ilustrativo · LGPD art. 46 · segurança</w:t>
      </w:r>
    </w:p>
    <w:p>
      <w:pPr>
        <w:pStyle w:val="BodyText"/>
      </w:pPr>
      <w:r>
        <w:rPr>
          <w:lang w:val="pt-BR"/>
        </w:rPr>
        <w:t xml:space="preserve">RISCO EM DISCUSSÃO</w:t>
      </w:r>
    </w:p>
    <w:p>
      <w:pPr>
        <w:pStyle w:val="BodyText"/>
      </w:pPr>
      <w:r>
        <w:rPr>
          <w:lang w:val="pt-BR"/>
        </w:rPr>
        <w:t xml:space="preserve">INSS · cenário didático</w:t>
      </w:r>
    </w:p>
    <w:p>
      <w:pPr>
        <w:pStyle w:val="BodyText"/>
      </w:pPr>
      <w:r>
        <w:rPr>
          <w:lang w:val="pt-BR"/>
        </w:rPr>
        <w:t xml:space="preserve">IN 128/2022 · CF 5º LV · LGPD art. 20</w:t>
      </w:r>
    </w:p>
    <w:p>
      <w:pPr>
        <w:pStyle w:val="BodyText"/>
      </w:pPr>
      <w:r>
        <w:rPr>
          <w:lang w:val="pt-BR"/>
        </w:rPr>
        <w:t xml:space="preserve">EXEMPLO DIDÁTICO</w:t>
      </w:r>
    </w:p>
    <w:p>
      <w:pPr>
        <w:pStyle w:val="BodyText"/>
      </w:pPr>
      <w:r>
        <w:rPr>
          <w:lang w:val="pt-BR"/>
        </w:rPr>
        <w:t xml:space="preserve">TJ-MA · correição e IA</w:t>
      </w:r>
    </w:p>
    <w:p>
      <w:pPr>
        <w:pStyle w:val="BodyText"/>
      </w:pPr>
      <w:r>
        <w:rPr>
          <w:lang w:val="pt-BR"/>
        </w:rPr>
        <w:t xml:space="preserve">80/mês → 969 em agosto/2024 · sindicância em 2025</w:t>
      </w:r>
    </w:p>
    <w:p>
      <w:pPr>
        <w:pStyle w:val="BodyText"/>
      </w:pPr>
      <w:r>
        <w:rPr>
          <w:lang w:val="pt-BR"/>
        </w:rPr>
        <w:t xml:space="preserve">CORREGEDORIA</w:t>
      </w:r>
    </w:p>
    <w:p>
      <w:pPr>
        <w:pStyle w:val="BodyText"/>
      </w:pPr>
      <w:r>
        <w:rPr>
          <w:lang w:val="pt-BR"/>
        </w:rPr>
        <w:t xml:space="preserve">A comparação pergunta como o Estado controla os próprios sistemas. Os cenários didáticos não comprovam ocorrências históricas; no TJ-MA, a correição apontou uso inadequado de IA e determinou sindicância em 2025. Decisão de 07/04/2025, p. 1–2.</w:t>
      </w:r>
    </w:p>
    <w:bookmarkEnd w:id="83"/>
    <w:bookmarkEnd w:id="84"/>
    <w:bookmarkStart w:id="88" w:name="propedêutica-literacia"/>
    <w:p>
      <w:pPr>
        <w:pStyle w:val="Heading2"/>
      </w:pPr>
      <w:r>
        <w:rPr>
          <w:lang w:val="pt-BR"/>
        </w:rPr>
        <w:t xml:space="preserve">30 Propedêutica literacia</w:t>
      </w:r>
    </w:p>
    <w:bookmarkStart w:id="85" w:name="X13706baac1d4995049cc9c8accdbf2e2d7a641c"/>
    <w:p>
      <w:pPr>
        <w:pStyle w:val="Heading3"/>
      </w:pPr>
      <w:r>
        <w:rPr>
          <w:lang w:val="pt-BR"/>
        </w:rPr>
        <w:t xml:space="preserve">Duas camadas que precisam vir antes da contestação.</w:t>
      </w:r>
    </w:p>
    <w:bookmarkEnd w:id="85"/>
    <w:bookmarkStart w:id="86" w:name="literacia-algorítmica."/>
    <w:p>
      <w:pPr>
        <w:pStyle w:val="Heading3"/>
      </w:pPr>
      <w:r>
        <w:rPr>
          <w:lang w:val="pt-BR"/>
        </w:rPr>
        <w:t xml:space="preserve">Literacia algorítmica.</w:t>
      </w:r>
    </w:p>
    <w:p>
      <w:pPr>
        <w:pStyle w:val="FirstParagraph"/>
      </w:pPr>
      <w:r>
        <w:rPr>
          <w:lang w:val="pt-BR"/>
        </w:rPr>
        <w:t xml:space="preserve">O cidadão muitas vezes nem sabe que foi uma máquina que decidiu — e não faz ideia do que é «inteligência artificial» ou «decisão algorítmica».</w:t>
      </w:r>
    </w:p>
    <w:p>
      <w:pPr>
        <w:pStyle w:val="BodyText"/>
      </w:pPr>
      <w:r>
        <w:rPr>
          <w:lang w:val="pt-BR"/>
        </w:rPr>
        <w:t xml:space="preserve">Não se contesta o que não se compreende. Empoderar não é só abrir um canal de recurso: é traduzir a decisão em linguagem que a pessoa entenda. Transparência não basta — falta inteligibilidade.</w:t>
      </w:r>
    </w:p>
    <w:bookmarkEnd w:id="86"/>
    <w:bookmarkStart w:id="87" w:name="notícia-humana."/>
    <w:p>
      <w:pPr>
        <w:pStyle w:val="Heading3"/>
      </w:pPr>
      <w:r>
        <w:rPr>
          <w:lang w:val="pt-BR"/>
        </w:rPr>
        <w:t xml:space="preserve">Notícia humana.</w:t>
      </w:r>
    </w:p>
    <w:p>
      <w:pPr>
        <w:pStyle w:val="FirstParagraph"/>
      </w:pPr>
      <w:r>
        <w:rPr>
          <w:lang w:val="pt-BR"/>
        </w:rPr>
        <w:t xml:space="preserve">Tese normativa: certas decisões podem ser automatizadas — mas a comunicação de uma decisão adversa a alguém em situação de vulnerabilidade deveria ser feita por uma pessoa, não por uma máquina.</w:t>
      </w:r>
    </w:p>
    <w:p>
      <w:pPr>
        <w:pStyle w:val="BodyText"/>
      </w:pPr>
      <w:r>
        <w:rPr>
          <w:lang w:val="pt-BR"/>
        </w:rPr>
        <w:t xml:space="preserve">Humano no circuito não apenas na decisão — também no cuidado da comunicação. Notificar um indeferimento por um app frio, a quem depende do benefício para comer, é violência burocrática silenciosa.</w:t>
      </w:r>
    </w:p>
    <w:bookmarkEnd w:id="87"/>
    <w:bookmarkEnd w:id="88"/>
    <w:bookmarkStart w:id="90" w:name="protótipo-conselho"/>
    <w:p>
      <w:pPr>
        <w:pStyle w:val="Heading2"/>
      </w:pPr>
      <w:r>
        <w:rPr>
          <w:lang w:val="pt-BR"/>
        </w:rPr>
        <w:t xml:space="preserve">31 Protótipo Conselho</w:t>
      </w:r>
    </w:p>
    <w:bookmarkStart w:id="89" w:name="X5a57783a5cdaacbcc4be96c02ffd14cc23a6e29"/>
    <w:p>
      <w:pPr>
        <w:pStyle w:val="Heading3"/>
      </w:pPr>
      <w:r>
        <w:rPr>
          <w:lang w:val="pt-BR"/>
        </w:rPr>
        <w:t xml:space="preserve">Protótipo: devolver à pessoa o contraditório que o Estado suprimiu.</w:t>
      </w:r>
    </w:p>
    <w:p>
      <w:pPr>
        <w:pStyle w:val="FirstParagraph"/>
      </w:pPr>
      <w:r>
        <w:rPr>
          <w:lang w:val="pt-BR"/>
        </w:rPr>
        <w:t xml:space="preserve">A pessoa submete o ato. O sistema lê o documento bruto.</w:t>
      </w:r>
    </w:p>
    <w:p>
      <w:pPr>
        <w:pStyle w:val="BodyText"/>
      </w:pPr>
      <w:r>
        <w:rPr>
          <w:lang w:val="pt-BR"/>
        </w:rPr>
        <w:t xml:space="preserve">Diagnóstico do que falta à decisão.</w:t>
      </w:r>
    </w:p>
    <w:p>
      <w:pPr>
        <w:pStyle w:val="BodyText"/>
      </w:pPr>
      <w:r>
        <w:rPr>
          <w:lang w:val="pt-BR"/>
        </w:rPr>
        <w:t xml:space="preserve">Bases possíveis; quase-identificadores; risco de inferência.</w:t>
      </w:r>
    </w:p>
    <w:p>
      <w:pPr>
        <w:pStyle w:val="BodyText"/>
      </w:pPr>
      <w:r>
        <w:rPr>
          <w:lang w:val="pt-BR"/>
        </w:rPr>
        <w:t xml:space="preserve">Defensoria · Cientista · Administrador · Cidadão. As 4 leituras do seminário, virando software.</w:t>
      </w:r>
    </w:p>
    <w:p>
      <w:pPr>
        <w:pStyle w:val="BodyText"/>
      </w:pPr>
      <w:r>
        <w:rPr>
          <w:lang w:val="pt-BR"/>
        </w:rPr>
        <w:t xml:space="preserve">LAI, LGPD, recurso administrativo — em linguagem da pessoa.</w:t>
      </w:r>
    </w:p>
    <w:p>
      <w:pPr>
        <w:pStyle w:val="BodyText"/>
      </w:pPr>
      <w:r>
        <w:rPr>
          <w:lang w:val="pt-BR"/>
        </w:rPr>
        <w:t xml:space="preserve">personaartigoo que ela carrega</w:t>
      </w:r>
    </w:p>
    <w:p>
      <w:pPr>
        <w:pStyle w:val="BodyText"/>
      </w:pPr>
      <w:r>
        <w:rPr>
          <w:lang w:val="pt-BR"/>
        </w:rPr>
        <w:t xml:space="preserve">Defensoria PúblicaTavares et al.contraditório prévio · art. 5º LV · LGPD art. 20</w:t>
      </w:r>
    </w:p>
    <w:p>
      <w:pPr>
        <w:pStyle w:val="BodyText"/>
      </w:pPr>
      <w:r>
        <w:rPr>
          <w:lang w:val="pt-BR"/>
        </w:rPr>
        <w:t xml:space="preserve">Cientista de Dados— transversal —explicabilidade · viés de proxy · auditabilidade</w:t>
      </w:r>
    </w:p>
    <w:p>
      <w:pPr>
        <w:pStyle w:val="BodyText"/>
      </w:pPr>
      <w:r>
        <w:rPr>
          <w:lang w:val="pt-BR"/>
        </w:rPr>
        <w:t xml:space="preserve">Administrador PúblicoCristóvam &amp; Hahngovernança · IN 128/2022 · L. 14.129/2021</w:t>
      </w:r>
    </w:p>
    <w:p>
      <w:pPr>
        <w:pStyle w:val="BodyText"/>
      </w:pPr>
      <w:r>
        <w:rPr>
          <w:lang w:val="pt-BR"/>
        </w:rPr>
        <w:t xml:space="preserve">CidadãoSalgado &amp; Saito · Sarlet &amp; Molinaroautodeterminação informativa · exclusão digital</w:t>
      </w:r>
    </w:p>
    <w:bookmarkEnd w:id="89"/>
    <w:bookmarkEnd w:id="90"/>
    <w:bookmarkStart w:id="92" w:name="demo-ao-vivo"/>
    <w:p>
      <w:pPr>
        <w:pStyle w:val="Heading2"/>
      </w:pPr>
      <w:r>
        <w:rPr>
          <w:lang w:val="pt-BR"/>
        </w:rPr>
        <w:t xml:space="preserve">32 Demo ao vivo</w:t>
      </w:r>
    </w:p>
    <w:bookmarkStart w:id="91" w:name="agora-em-simulação."/>
    <w:p>
      <w:pPr>
        <w:pStyle w:val="Heading3"/>
      </w:pPr>
      <w:r>
        <w:rPr>
          <w:lang w:val="pt-BR"/>
        </w:rPr>
        <w:t xml:space="preserve">Agora, em simulação.</w:t>
      </w:r>
    </w:p>
    <w:p>
      <w:pPr>
        <w:pStyle w:val="FirstParagraph"/>
      </w:pPr>
      <w:r>
        <w:rPr>
          <w:lang w:val="pt-BR"/>
        </w:rPr>
        <w:t xml:space="preserve">A trabalhadora rural, indeferida automaticamente, leva seu caso ao Conselho de Contestação Algorítmica. Quatro perspectivas jurídicas — as quatro leituras do seminário — deliberam em três fases. No fim, o sistema não decide pela pessoa: ele devolve a ela o contraditório que o Estado suprimiu.</w:t>
      </w:r>
    </w:p>
    <w:bookmarkEnd w:id="91"/>
    <w:bookmarkEnd w:id="92"/>
    <w:bookmarkStart w:id="94" w:name="demonstração-acadêmica"/>
    <w:p>
      <w:pPr>
        <w:pStyle w:val="Heading2"/>
      </w:pPr>
      <w:r>
        <w:rPr>
          <w:lang w:val="pt-BR"/>
        </w:rPr>
        <w:t xml:space="preserve">33 Demonstração acadêmica</w:t>
      </w:r>
    </w:p>
    <w:bookmarkStart w:id="93" w:name="o-conselhopublicado."/>
    <w:p>
      <w:pPr>
        <w:pStyle w:val="Heading3"/>
      </w:pPr>
      <w:r>
        <w:rPr>
          <w:lang w:val="pt-BR"/>
        </w:rPr>
        <w:t xml:space="preserve">O Conselho,publicado.</w:t>
      </w:r>
    </w:p>
    <w:p>
      <w:pPr>
        <w:pStyle w:val="FirstParagraph"/>
      </w:pPr>
      <w:r>
        <w:rPr>
          <w:lang w:val="pt-BR"/>
        </w:rPr>
        <w:t xml:space="preserve">Esta demonstração foi pensada para o seminário. A interface React/Gemini apresenta quatro perspectivas em uma única chamada no projeto original. Aqui, usamos casos e pareceres preparados, sem chamada de IA e sem dados pessoais.</w:t>
      </w:r>
    </w:p>
    <w:bookmarkEnd w:id="93"/>
    <w:bookmarkEnd w:id="94"/>
    <w:bookmarkStart w:id="96" w:name="tese-final"/>
    <w:p>
      <w:pPr>
        <w:pStyle w:val="Heading2"/>
      </w:pPr>
      <w:r>
        <w:rPr>
          <w:lang w:val="pt-BR"/>
        </w:rPr>
        <w:t xml:space="preserve">33 Tese final</w:t>
      </w:r>
    </w:p>
    <w:bookmarkStart w:id="95" w:name="Xe009a90b8265cafbb14fcac0ab92b4c487057e5"/>
    <w:p>
      <w:pPr>
        <w:pStyle w:val="Heading3"/>
      </w:pPr>
      <w:r>
        <w:rPr>
          <w:lang w:val="pt-BR"/>
        </w:rPr>
        <w:t xml:space="preserve">Não há Administração Pública 4.0 democráticasem quatro colunas.</w:t>
      </w:r>
    </w:p>
    <w:p>
      <w:pPr>
        <w:pStyle w:val="FirstParagraph"/>
      </w:pPr>
      <w:r>
        <w:rPr>
          <w:lang w:val="pt-BR"/>
        </w:rPr>
        <w:t xml:space="preserve">A Administração Pública digital está decidindo melhor — ou apenas decidindo mais rápido, com menos chance de compreensão, contestação e participação?</w:t>
      </w:r>
    </w:p>
    <w:p>
      <w:pPr>
        <w:pStyle w:val="BodyText"/>
      </w:pPr>
      <w:r>
        <w:rPr>
          <w:lang w:val="pt-BR"/>
        </w:rPr>
        <w:t xml:space="preserve">Ana Vitória Vanzin &amp; Vinícius Oliveira · PPGD/UFSC · 2026</w:t>
      </w:r>
    </w:p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pt-B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seminario8-leitura.docx" TargetMode="External" /><Relationship Type="http://schemas.openxmlformats.org/officeDocument/2006/relationships/hyperlink" Id="rId9" Target="seminario8-leitura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seminario8-leitura.docx" TargetMode="External" /><Relationship Type="http://schemas.openxmlformats.org/officeDocument/2006/relationships/hyperlink" Id="rId9" Target="seminario8-leitura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Seminário 8 — versão para leitura e impressão</dc:title>
  <dc:creator/>
  <dc:description>Versão para leitura e impressão do seminário Do Poder-Dever ao Dever-Poder, de Ana Vitória Vanzin e Vinícius Oliveira.</dc:description>
  <dc:language>pt-BR</dc:language>
  <cp:keywords/>
  <dcterms:created xsi:type="dcterms:W3CDTF">2026-10-04T00:25:21Z</dcterms:created>
  <dcterms:modified xsi:type="dcterms:W3CDTF">2026-10-04T00:25:21Z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obots">
    <vt:lpwstr>noindex,follow</vt:lpwstr>
  </property>
  <property fmtid="{D5CDD505-2E9C-101B-9397-08002B2CF9AE}" pid="3" name="viewport">
    <vt:lpwstr>width=device-width,initial-scale=1</vt:lpwstr>
  </property>
</Properties>
</file>